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92" w:rsidRPr="00296A3B" w:rsidRDefault="000C1092" w:rsidP="000C1092">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0C1092" w:rsidRPr="00296A3B" w:rsidRDefault="000C1092" w:rsidP="000C1092">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0C1092" w:rsidRPr="00296A3B" w:rsidRDefault="000C1092" w:rsidP="000C1092">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0C1092" w:rsidRPr="00AE3230" w:rsidRDefault="000C1092" w:rsidP="000C1092">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0C1092" w:rsidRPr="000C1092" w:rsidRDefault="000C1092" w:rsidP="000C1092">
      <w:pPr>
        <w:shd w:val="clear" w:color="auto" w:fill="FFFFFF"/>
        <w:spacing w:line="240" w:lineRule="auto"/>
        <w:ind w:firstLine="851"/>
        <w:jc w:val="center"/>
        <w:rPr>
          <w:rFonts w:ascii="Times New Roman" w:hAnsi="Times New Roman"/>
          <w:b/>
          <w:bCs/>
          <w:color w:val="C45911"/>
          <w:sz w:val="28"/>
          <w:szCs w:val="28"/>
        </w:rPr>
      </w:pPr>
    </w:p>
    <w:p w:rsidR="000C1092" w:rsidRDefault="000C1092" w:rsidP="000C1092">
      <w:pPr>
        <w:spacing w:after="0"/>
        <w:ind w:firstLine="851"/>
        <w:jc w:val="center"/>
        <w:rPr>
          <w:rFonts w:ascii="Times New Roman" w:hAnsi="Times New Roman"/>
          <w:b/>
          <w:bCs/>
          <w:caps/>
          <w:sz w:val="28"/>
          <w:szCs w:val="28"/>
        </w:rPr>
      </w:pPr>
    </w:p>
    <w:p w:rsidR="000C1092" w:rsidRDefault="000C1092" w:rsidP="000C1092">
      <w:pPr>
        <w:spacing w:after="0"/>
        <w:ind w:firstLine="851"/>
        <w:jc w:val="center"/>
        <w:rPr>
          <w:rFonts w:ascii="Times New Roman" w:hAnsi="Times New Roman"/>
          <w:b/>
          <w:bCs/>
          <w:caps/>
          <w:sz w:val="28"/>
          <w:szCs w:val="28"/>
        </w:rPr>
      </w:pPr>
    </w:p>
    <w:p w:rsidR="000C1092" w:rsidRDefault="000C1092" w:rsidP="000C1092">
      <w:pPr>
        <w:spacing w:after="0"/>
        <w:ind w:firstLine="851"/>
        <w:jc w:val="center"/>
        <w:rPr>
          <w:rFonts w:ascii="Times New Roman" w:hAnsi="Times New Roman"/>
          <w:b/>
          <w:bCs/>
          <w:caps/>
          <w:sz w:val="28"/>
          <w:szCs w:val="28"/>
        </w:rPr>
      </w:pPr>
    </w:p>
    <w:p w:rsidR="000C1092" w:rsidRPr="000C1092" w:rsidRDefault="000C1092" w:rsidP="000C1092">
      <w:pPr>
        <w:spacing w:after="0"/>
        <w:ind w:firstLine="851"/>
        <w:jc w:val="center"/>
        <w:rPr>
          <w:rFonts w:ascii="Times New Roman" w:hAnsi="Times New Roman"/>
          <w:b/>
          <w:bCs/>
          <w:caps/>
          <w:color w:val="833C0B"/>
          <w:sz w:val="28"/>
          <w:szCs w:val="28"/>
        </w:rPr>
      </w:pPr>
    </w:p>
    <w:p w:rsidR="000C1092" w:rsidRPr="000C1092" w:rsidRDefault="000C1092" w:rsidP="000C1092">
      <w:pPr>
        <w:spacing w:after="0" w:line="240" w:lineRule="auto"/>
        <w:ind w:firstLine="709"/>
        <w:jc w:val="center"/>
        <w:rPr>
          <w:rFonts w:ascii="Times New Roman" w:hAnsi="Times New Roman"/>
          <w:b/>
          <w:bCs/>
          <w:caps/>
          <w:color w:val="833C0B"/>
          <w:sz w:val="28"/>
          <w:szCs w:val="28"/>
        </w:rPr>
      </w:pPr>
      <w:r w:rsidRPr="000C1092">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0C1092" w:rsidRPr="000C1092" w:rsidRDefault="000C1092" w:rsidP="000C1092">
      <w:pPr>
        <w:spacing w:after="0" w:line="240" w:lineRule="auto"/>
        <w:ind w:firstLine="709"/>
        <w:jc w:val="center"/>
        <w:rPr>
          <w:rFonts w:ascii="Times New Roman" w:hAnsi="Times New Roman"/>
          <w:b/>
          <w:bCs/>
          <w:color w:val="833C0B"/>
          <w:sz w:val="28"/>
          <w:szCs w:val="28"/>
        </w:rPr>
      </w:pPr>
      <w:r>
        <w:rPr>
          <w:rFonts w:ascii="Times New Roman" w:hAnsi="Times New Roman"/>
          <w:b/>
          <w:bCs/>
          <w:caps/>
          <w:color w:val="833C0B"/>
          <w:sz w:val="28"/>
          <w:szCs w:val="28"/>
        </w:rPr>
        <w:t>бурунчинский</w:t>
      </w:r>
      <w:r w:rsidRPr="000C1092">
        <w:rPr>
          <w:rFonts w:ascii="Times New Roman" w:hAnsi="Times New Roman"/>
          <w:b/>
          <w:bCs/>
          <w:caps/>
          <w:color w:val="833C0B"/>
          <w:sz w:val="28"/>
          <w:szCs w:val="28"/>
        </w:rPr>
        <w:t xml:space="preserve"> сельсовет саракташского района</w:t>
      </w:r>
    </w:p>
    <w:p w:rsidR="000C1092" w:rsidRPr="000C1092" w:rsidRDefault="000C1092" w:rsidP="000C1092">
      <w:pPr>
        <w:shd w:val="clear" w:color="auto" w:fill="FFFFFF"/>
        <w:spacing w:after="0" w:line="240" w:lineRule="auto"/>
        <w:ind w:firstLine="709"/>
        <w:jc w:val="center"/>
        <w:rPr>
          <w:rFonts w:ascii="Times New Roman" w:hAnsi="Times New Roman"/>
          <w:b/>
          <w:bCs/>
          <w:color w:val="833C0B"/>
          <w:sz w:val="28"/>
          <w:szCs w:val="28"/>
        </w:rPr>
      </w:pPr>
    </w:p>
    <w:p w:rsidR="000C1092" w:rsidRPr="000C1092" w:rsidRDefault="000C1092" w:rsidP="000C1092">
      <w:pPr>
        <w:spacing w:after="0" w:line="240" w:lineRule="auto"/>
        <w:ind w:firstLine="709"/>
        <w:jc w:val="center"/>
        <w:rPr>
          <w:rFonts w:ascii="Times New Roman" w:hAnsi="Times New Roman"/>
          <w:b/>
          <w:bCs/>
          <w:caps/>
          <w:color w:val="833C0B"/>
          <w:sz w:val="28"/>
          <w:szCs w:val="28"/>
        </w:rPr>
      </w:pPr>
      <w:r w:rsidRPr="000C1092">
        <w:rPr>
          <w:rFonts w:ascii="Times New Roman" w:hAnsi="Times New Roman"/>
          <w:b/>
          <w:bCs/>
          <w:caps/>
          <w:color w:val="833C0B"/>
          <w:sz w:val="28"/>
          <w:szCs w:val="28"/>
        </w:rPr>
        <w:t>(правила землепользования и застройки</w:t>
      </w:r>
    </w:p>
    <w:p w:rsidR="000C1092" w:rsidRPr="000C1092" w:rsidRDefault="000C1092" w:rsidP="000C1092">
      <w:pPr>
        <w:spacing w:after="0" w:line="240" w:lineRule="auto"/>
        <w:ind w:firstLine="709"/>
        <w:jc w:val="center"/>
        <w:rPr>
          <w:rFonts w:ascii="Times New Roman" w:hAnsi="Times New Roman"/>
          <w:b/>
          <w:bCs/>
          <w:caps/>
          <w:color w:val="833C0B"/>
          <w:sz w:val="28"/>
          <w:szCs w:val="28"/>
        </w:rPr>
      </w:pPr>
      <w:r w:rsidRPr="000C1092">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бурунчинский</w:t>
      </w:r>
      <w:r w:rsidRPr="000C1092">
        <w:rPr>
          <w:rFonts w:ascii="Times New Roman" w:hAnsi="Times New Roman"/>
          <w:b/>
          <w:bCs/>
          <w:caps/>
          <w:color w:val="833C0B"/>
          <w:sz w:val="28"/>
          <w:szCs w:val="28"/>
        </w:rPr>
        <w:t xml:space="preserve"> сельсовет</w:t>
      </w:r>
    </w:p>
    <w:p w:rsidR="000C1092" w:rsidRPr="000C1092" w:rsidRDefault="000C1092" w:rsidP="000C1092">
      <w:pPr>
        <w:shd w:val="clear" w:color="auto" w:fill="FFFFFF"/>
        <w:spacing w:after="0" w:line="240" w:lineRule="auto"/>
        <w:ind w:firstLine="709"/>
        <w:jc w:val="center"/>
        <w:rPr>
          <w:rFonts w:ascii="Times New Roman" w:hAnsi="Times New Roman"/>
          <w:b/>
          <w:bCs/>
          <w:caps/>
          <w:color w:val="833C0B"/>
          <w:sz w:val="28"/>
          <w:szCs w:val="28"/>
        </w:rPr>
      </w:pPr>
      <w:r w:rsidRPr="000C1092">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0C1092" w:rsidRDefault="000C1092" w:rsidP="003242F4">
      <w:pPr>
        <w:autoSpaceDE w:val="0"/>
        <w:autoSpaceDN w:val="0"/>
        <w:adjustRightInd w:val="0"/>
        <w:spacing w:after="0"/>
        <w:jc w:val="center"/>
        <w:rPr>
          <w:rFonts w:ascii="Times New Roman" w:hAnsi="Times New Roman"/>
          <w:color w:val="000000"/>
          <w:sz w:val="32"/>
          <w:szCs w:val="32"/>
        </w:rPr>
      </w:pPr>
    </w:p>
    <w:p w:rsidR="000C1092" w:rsidRPr="003242F4" w:rsidRDefault="000C1092"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0C1092"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w:t>
      </w:r>
      <w:proofErr w:type="gramStart"/>
      <w:r w:rsidRPr="00B679D8">
        <w:rPr>
          <w:rFonts w:ascii="Times New Roman" w:hAnsi="Times New Roman"/>
          <w:b/>
          <w:bCs/>
          <w:sz w:val="24"/>
          <w:szCs w:val="24"/>
          <w:u w:val="single"/>
        </w:rPr>
        <w:t>видов  параметров</w:t>
      </w:r>
      <w:proofErr w:type="gramEnd"/>
      <w:r w:rsidRPr="00B679D8">
        <w:rPr>
          <w:rFonts w:ascii="Times New Roman" w:hAnsi="Times New Roman"/>
          <w:b/>
          <w:bCs/>
          <w:sz w:val="24"/>
          <w:szCs w:val="24"/>
          <w:u w:val="single"/>
        </w:rPr>
        <w:t xml:space="preserve">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w:t>
      </w:r>
      <w:proofErr w:type="gramStart"/>
      <w:r w:rsidRPr="002B7D68">
        <w:rPr>
          <w:rFonts w:ascii="Times New Roman" w:hAnsi="Times New Roman"/>
          <w:bCs/>
          <w:sz w:val="24"/>
          <w:szCs w:val="24"/>
        </w:rPr>
        <w:t>статья  44</w:t>
      </w:r>
      <w:proofErr w:type="gramEnd"/>
      <w:r w:rsidRPr="002B7D68">
        <w:rPr>
          <w:rFonts w:ascii="Times New Roman" w:hAnsi="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913B7F" w:rsidRPr="0089573C" w:rsidRDefault="00913B7F" w:rsidP="00913B7F">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Бурунчинский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Бурунчинский сельсовет)</w:t>
      </w:r>
      <w:r w:rsidRPr="0089573C">
        <w:rPr>
          <w:rFonts w:ascii="Times New Roman" w:hAnsi="Times New Roman"/>
          <w:b/>
          <w:i/>
          <w:sz w:val="24"/>
          <w:szCs w:val="24"/>
        </w:rPr>
        <w:t>.</w:t>
      </w:r>
    </w:p>
    <w:p w:rsidR="00913B7F" w:rsidRPr="0089573C" w:rsidRDefault="00913B7F" w:rsidP="00913B7F">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Бурунчинский сельсовет </w:t>
      </w:r>
      <w:r w:rsidRPr="0089573C">
        <w:rPr>
          <w:rFonts w:ascii="Times New Roman" w:hAnsi="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 xml:space="preserve">Градостроительные регламенты в части </w:t>
      </w:r>
      <w:proofErr w:type="gramStart"/>
      <w:r w:rsidRPr="008019B4">
        <w:rPr>
          <w:rFonts w:ascii="Times New Roman" w:hAnsi="Times New Roman"/>
          <w:b/>
          <w:bCs/>
          <w:sz w:val="24"/>
          <w:szCs w:val="24"/>
        </w:rPr>
        <w:t>видов  параметров</w:t>
      </w:r>
      <w:proofErr w:type="gramEnd"/>
      <w:r w:rsidRPr="008019B4">
        <w:rPr>
          <w:rFonts w:ascii="Times New Roman" w:hAnsi="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w:t>
      </w:r>
      <w:proofErr w:type="gramStart"/>
      <w:r w:rsidRPr="00D1662C">
        <w:rPr>
          <w:rFonts w:ascii="Times New Roman" w:hAnsi="Times New Roman"/>
          <w:sz w:val="24"/>
          <w:szCs w:val="24"/>
        </w:rPr>
        <w:t>не устанавливаются</w:t>
      </w:r>
      <w:proofErr w:type="gramEnd"/>
      <w:r w:rsidRPr="00D1662C">
        <w:rPr>
          <w:rFonts w:ascii="Times New Roman" w:hAnsi="Times New Roman"/>
          <w:sz w:val="24"/>
          <w:szCs w:val="24"/>
        </w:rPr>
        <w:t xml:space="preserve">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4465DD">
        <w:rPr>
          <w:rFonts w:ascii="Times New Roman" w:hAnsi="Times New Roman"/>
          <w:sz w:val="24"/>
          <w:szCs w:val="24"/>
        </w:rPr>
        <w:t>Бурунчинский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C86B2B"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FA66E7"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14A68">
              <w:rPr>
                <w:rFonts w:ascii="Times New Roman" w:hAnsi="Times New Roman" w:cs="Times New Roman"/>
                <w:b w:val="0"/>
                <w:bCs w:val="0"/>
                <w:sz w:val="24"/>
                <w:szCs w:val="24"/>
              </w:rPr>
              <w:t>Зона скотомогильников, участков компостирования ТБО</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FA66E7" w:rsidP="00EC320C">
            <w:pPr>
              <w:pStyle w:val="10"/>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4465DD">
        <w:rPr>
          <w:rFonts w:ascii="Times New Roman" w:hAnsi="Times New Roman"/>
          <w:sz w:val="24"/>
          <w:szCs w:val="24"/>
        </w:rPr>
        <w:t>Бурунчинский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proofErr w:type="gramStart"/>
      <w:r w:rsidR="00BA6DEB">
        <w:rPr>
          <w:rFonts w:ascii="Times New Roman" w:hAnsi="Times New Roman"/>
          <w:sz w:val="24"/>
          <w:szCs w:val="24"/>
        </w:rPr>
        <w:t>в</w:t>
      </w:r>
      <w:r w:rsidRPr="009C5C5E">
        <w:rPr>
          <w:rFonts w:ascii="Times New Roman" w:hAnsi="Times New Roman"/>
          <w:sz w:val="24"/>
          <w:szCs w:val="24"/>
        </w:rPr>
        <w:t xml:space="preserve"> земельные участки</w:t>
      </w:r>
      <w:proofErr w:type="gramEnd"/>
      <w:r w:rsidRPr="009C5C5E">
        <w:rPr>
          <w:rFonts w:ascii="Times New Roman" w:hAnsi="Times New Roman"/>
          <w:sz w:val="24"/>
          <w:szCs w:val="24"/>
        </w:rPr>
        <w:t xml:space="preserve">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9767"/>
      </w:tblGrid>
      <w:tr w:rsidR="00BA6DEB" w:rsidRPr="00CA6490"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C86B2B" w:rsidRPr="00CA6490" w:rsidTr="00D13EA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56:26:0203001:3</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56:26:0000000:234</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56:26:0202001:33</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56:26:0204001:3</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56:26:0205001:1</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56:26:0205001:7</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56:26:0205001:6</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56:26:0000000:234</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56:26:0206001:7</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56:26:0206001:8</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56:26:0212001:2</w:t>
            </w:r>
          </w:p>
          <w:p w:rsidR="00C86B2B" w:rsidRPr="00C86B2B" w:rsidRDefault="00C86B2B" w:rsidP="00C86B2B">
            <w:pPr>
              <w:pStyle w:val="10"/>
              <w:spacing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56:26:0210001:26</w:t>
            </w:r>
          </w:p>
          <w:p w:rsidR="00C86B2B" w:rsidRPr="00EC3AE0" w:rsidRDefault="00C86B2B" w:rsidP="00C86B2B">
            <w:pPr>
              <w:pStyle w:val="10"/>
              <w:keepNext w:val="0"/>
              <w:keepLines w:val="0"/>
              <w:spacing w:before="0" w:after="0"/>
              <w:jc w:val="center"/>
              <w:rPr>
                <w:rFonts w:ascii="Times New Roman" w:hAnsi="Times New Roman" w:cs="Times New Roman"/>
                <w:b w:val="0"/>
                <w:bCs w:val="0"/>
                <w:i/>
                <w:sz w:val="24"/>
                <w:szCs w:val="24"/>
              </w:rPr>
            </w:pPr>
            <w:r w:rsidRPr="00C86B2B">
              <w:rPr>
                <w:rFonts w:ascii="Times New Roman" w:hAnsi="Times New Roman" w:cs="Times New Roman"/>
                <w:b w:val="0"/>
                <w:bCs w:val="0"/>
                <w:i/>
                <w:sz w:val="24"/>
                <w:szCs w:val="24"/>
              </w:rPr>
              <w:t>56:26:0000000:234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proofErr w:type="gramStart"/>
      <w:r w:rsidRPr="00CD0893">
        <w:rPr>
          <w:rFonts w:ascii="Times New Roman" w:hAnsi="Times New Roman"/>
          <w:sz w:val="24"/>
          <w:szCs w:val="24"/>
        </w:rPr>
        <w:t>в)  вспомогательные</w:t>
      </w:r>
      <w:proofErr w:type="gramEnd"/>
      <w:r w:rsidRPr="00CD0893">
        <w:rPr>
          <w:rFonts w:ascii="Times New Roman" w:hAnsi="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5. Градостроительные регламенты </w:t>
      </w:r>
      <w:proofErr w:type="gramStart"/>
      <w:r w:rsidRPr="00CD0893">
        <w:rPr>
          <w:rFonts w:ascii="Times New Roman" w:hAnsi="Times New Roman"/>
          <w:sz w:val="24"/>
          <w:szCs w:val="24"/>
        </w:rPr>
        <w:t>установлены  на</w:t>
      </w:r>
      <w:proofErr w:type="gramEnd"/>
      <w:r w:rsidRPr="00CD0893">
        <w:rPr>
          <w:rFonts w:ascii="Times New Roman" w:hAnsi="Times New Roman"/>
          <w:sz w:val="24"/>
          <w:szCs w:val="24"/>
        </w:rPr>
        <w:t xml:space="preserve">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proofErr w:type="gramStart"/>
      <w:r w:rsidRPr="00CD0893">
        <w:rPr>
          <w:rFonts w:ascii="Times New Roman" w:hAnsi="Times New Roman"/>
          <w:sz w:val="24"/>
          <w:szCs w:val="24"/>
        </w:rPr>
        <w:t xml:space="preserve">   «</w:t>
      </w:r>
      <w:proofErr w:type="gramEnd"/>
      <w:r w:rsidRPr="00CD0893">
        <w:rPr>
          <w:rFonts w:ascii="Times New Roman" w:hAnsi="Times New Roman"/>
          <w:sz w:val="24"/>
          <w:szCs w:val="24"/>
        </w:rPr>
        <w:t>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Нормативы градостроительного </w:t>
      </w:r>
      <w:proofErr w:type="gramStart"/>
      <w:r w:rsidRPr="00490145">
        <w:rPr>
          <w:rFonts w:ascii="Times New Roman" w:hAnsi="Times New Roman"/>
          <w:sz w:val="24"/>
          <w:szCs w:val="24"/>
        </w:rPr>
        <w:t>проектирования  Оренбургской</w:t>
      </w:r>
      <w:proofErr w:type="gramEnd"/>
      <w:r w:rsidRPr="00490145">
        <w:rPr>
          <w:rFonts w:ascii="Times New Roman" w:hAnsi="Times New Roman"/>
          <w:sz w:val="24"/>
          <w:szCs w:val="24"/>
        </w:rPr>
        <w:t xml:space="preserve">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proofErr w:type="gramStart"/>
      <w:r w:rsidRPr="00490145">
        <w:rPr>
          <w:rFonts w:ascii="Times New Roman" w:hAnsi="Times New Roman"/>
          <w:sz w:val="24"/>
          <w:szCs w:val="24"/>
        </w:rPr>
        <w:t>СНиП  2.08.02</w:t>
      </w:r>
      <w:proofErr w:type="gramEnd"/>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 xml:space="preserve">СанПиН </w:t>
      </w:r>
      <w:proofErr w:type="gramStart"/>
      <w:r w:rsidRPr="00490145">
        <w:rPr>
          <w:rFonts w:ascii="Times New Roman" w:hAnsi="Times New Roman"/>
          <w:bCs/>
          <w:sz w:val="24"/>
          <w:szCs w:val="24"/>
        </w:rPr>
        <w:t>2.2.1./</w:t>
      </w:r>
      <w:proofErr w:type="gramEnd"/>
      <w:r w:rsidRPr="00490145">
        <w:rPr>
          <w:rFonts w:ascii="Times New Roman" w:hAnsi="Times New Roman"/>
          <w:bCs/>
          <w:sz w:val="24"/>
          <w:szCs w:val="24"/>
        </w:rPr>
        <w:t>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w:t>
      </w:r>
      <w:proofErr w:type="gramStart"/>
      <w:r w:rsidR="008E4481" w:rsidRPr="00CD0893">
        <w:rPr>
          <w:rFonts w:ascii="Times New Roman" w:hAnsi="Times New Roman"/>
          <w:i/>
          <w:iCs/>
          <w:color w:val="000000"/>
          <w:sz w:val="24"/>
          <w:szCs w:val="24"/>
        </w:rPr>
        <w:t>типа  с</w:t>
      </w:r>
      <w:proofErr w:type="gramEnd"/>
      <w:r w:rsidR="008E4481" w:rsidRPr="00CD0893">
        <w:rPr>
          <w:rFonts w:ascii="Times New Roman" w:hAnsi="Times New Roman"/>
          <w:i/>
          <w:iCs/>
          <w:color w:val="000000"/>
          <w:sz w:val="24"/>
          <w:szCs w:val="24"/>
        </w:rPr>
        <w:t xml:space="preserve">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1-</w:t>
      </w:r>
      <w:proofErr w:type="gramStart"/>
      <w:r w:rsidR="00BC5F72">
        <w:rPr>
          <w:rFonts w:ascii="Times New Roman" w:hAnsi="Times New Roman"/>
          <w:sz w:val="24"/>
          <w:szCs w:val="24"/>
        </w:rPr>
        <w:t xml:space="preserve">3 </w:t>
      </w:r>
      <w:r w:rsidRPr="00CD0893">
        <w:rPr>
          <w:rFonts w:ascii="Times New Roman" w:hAnsi="Times New Roman"/>
          <w:sz w:val="24"/>
          <w:szCs w:val="24"/>
        </w:rPr>
        <w:t xml:space="preserve"> этажа</w:t>
      </w:r>
      <w:proofErr w:type="gramEnd"/>
      <w:r w:rsidRPr="00CD0893">
        <w:rPr>
          <w:rFonts w:ascii="Times New Roman" w:hAnsi="Times New Roman"/>
          <w:sz w:val="24"/>
          <w:szCs w:val="24"/>
        </w:rPr>
        <w:t xml:space="preserve">, с приусадебными земельными участками до </w:t>
      </w:r>
      <w:r w:rsidR="00D92328">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0E4181">
              <w:rPr>
                <w:szCs w:val="24"/>
              </w:rPr>
              <w:t>М</w:t>
            </w:r>
            <w:r w:rsidR="000E4181"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0C109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0C1092">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0C1092">
        <w:rPr>
          <w:rFonts w:ascii="Times New Roman" w:hAnsi="Times New Roman" w:cs="Times New Roman"/>
          <w:i/>
          <w:iCs/>
          <w:sz w:val="24"/>
          <w:szCs w:val="24"/>
        </w:rPr>
        <w:t>4,5</w:t>
      </w:r>
      <w:r w:rsidRPr="00CD0893">
        <w:rPr>
          <w:rFonts w:ascii="Times New Roman" w:hAnsi="Times New Roman" w:cs="Times New Roman"/>
          <w:i/>
          <w:iCs/>
          <w:sz w:val="24"/>
          <w:szCs w:val="24"/>
        </w:rPr>
        <w:t xml:space="preserve"> </w:t>
      </w:r>
      <w:r w:rsidR="00AA5730">
        <w:rPr>
          <w:rFonts w:ascii="Times New Roman" w:hAnsi="Times New Roman" w:cs="Times New Roman"/>
          <w:i/>
          <w:iCs/>
          <w:sz w:val="24"/>
          <w:szCs w:val="24"/>
        </w:rPr>
        <w:t>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 xml:space="preserve">от </w:t>
      </w:r>
      <w:proofErr w:type="gramStart"/>
      <w:r>
        <w:rPr>
          <w:rFonts w:ascii="Times New Roman" w:hAnsi="Times New Roman"/>
          <w:i/>
          <w:iCs/>
          <w:sz w:val="24"/>
          <w:szCs w:val="24"/>
        </w:rPr>
        <w:t>стволов  деревьев</w:t>
      </w:r>
      <w:proofErr w:type="gramEnd"/>
      <w:r>
        <w:rPr>
          <w:rFonts w:ascii="Times New Roman" w:hAnsi="Times New Roman"/>
          <w:i/>
          <w:iCs/>
          <w:sz w:val="24"/>
          <w:szCs w:val="24"/>
        </w:rPr>
        <w:t xml:space="preserve">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w:t>
      </w:r>
      <w:proofErr w:type="gramStart"/>
      <w:r>
        <w:rPr>
          <w:rFonts w:ascii="Times New Roman" w:hAnsi="Times New Roman"/>
          <w:i/>
          <w:iCs/>
          <w:sz w:val="24"/>
          <w:szCs w:val="24"/>
        </w:rPr>
        <w:t xml:space="preserve">5 </w:t>
      </w:r>
      <w:r w:rsidRPr="00BD724C">
        <w:rPr>
          <w:rFonts w:ascii="Times New Roman" w:hAnsi="Times New Roman"/>
          <w:i/>
          <w:iCs/>
          <w:sz w:val="24"/>
          <w:szCs w:val="24"/>
        </w:rPr>
        <w:t xml:space="preserve"> м.</w:t>
      </w:r>
      <w:proofErr w:type="gramEnd"/>
    </w:p>
    <w:p w:rsidR="009F12C9" w:rsidRDefault="009F12C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780AF9" w:rsidRDefault="00780AF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 xml:space="preserve">Минимальные расстояния от помещений (сооружений) для содержания и </w:t>
      </w:r>
      <w:r w:rsidRPr="008613E8">
        <w:rPr>
          <w:rFonts w:ascii="Times New Roman" w:hAnsi="Times New Roman" w:cs="Times New Roman"/>
          <w:bCs/>
          <w:sz w:val="24"/>
          <w:szCs w:val="24"/>
        </w:rPr>
        <w:lastRenderedPageBreak/>
        <w:t>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w:t>
      </w:r>
      <w:proofErr w:type="gramStart"/>
      <w:r w:rsidR="0001121F">
        <w:rPr>
          <w:rFonts w:ascii="Times New Roman" w:hAnsi="Times New Roman"/>
          <w:sz w:val="24"/>
          <w:szCs w:val="24"/>
        </w:rPr>
        <w:t xml:space="preserve">исследовательские </w:t>
      </w:r>
      <w:r w:rsidRPr="00CD0893">
        <w:rPr>
          <w:rFonts w:ascii="Times New Roman" w:hAnsi="Times New Roman"/>
          <w:sz w:val="24"/>
          <w:szCs w:val="24"/>
        </w:rPr>
        <w:t xml:space="preserve"> и</w:t>
      </w:r>
      <w:proofErr w:type="gramEnd"/>
      <w:r w:rsidRPr="00CD0893">
        <w:rPr>
          <w:rFonts w:ascii="Times New Roman" w:hAnsi="Times New Roman"/>
          <w:sz w:val="24"/>
          <w:szCs w:val="24"/>
        </w:rPr>
        <w:t xml:space="preserve">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 xml:space="preserve">клубы (дома культуры), центры общения и досуговых занятий, залы для </w:t>
      </w:r>
      <w:proofErr w:type="gramStart"/>
      <w:r w:rsidRPr="00CD0893">
        <w:rPr>
          <w:rFonts w:ascii="Times New Roman" w:hAnsi="Times New Roman"/>
          <w:sz w:val="24"/>
          <w:szCs w:val="24"/>
        </w:rPr>
        <w:t>встреч,  собраний</w:t>
      </w:r>
      <w:proofErr w:type="gramEnd"/>
      <w:r w:rsidRPr="00CD0893">
        <w:rPr>
          <w:rFonts w:ascii="Times New Roman" w:hAnsi="Times New Roman"/>
          <w:sz w:val="24"/>
          <w:szCs w:val="24"/>
        </w:rPr>
        <w:t>,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иные </w:t>
      </w:r>
      <w:proofErr w:type="gramStart"/>
      <w:r w:rsidRPr="00CD0893">
        <w:rPr>
          <w:rFonts w:ascii="Times New Roman" w:hAnsi="Times New Roman"/>
          <w:sz w:val="24"/>
          <w:szCs w:val="24"/>
        </w:rPr>
        <w:t>объекты  дошкольного</w:t>
      </w:r>
      <w:proofErr w:type="gramEnd"/>
      <w:r w:rsidRPr="00CD0893">
        <w:rPr>
          <w:rFonts w:ascii="Times New Roman" w:hAnsi="Times New Roman"/>
          <w:sz w:val="24"/>
          <w:szCs w:val="24"/>
        </w:rPr>
        <w:t xml:space="preserve">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подземные и </w:t>
      </w:r>
      <w:proofErr w:type="gramStart"/>
      <w:r w:rsidRPr="00CD0893">
        <w:rPr>
          <w:rFonts w:ascii="Times New Roman" w:hAnsi="Times New Roman"/>
          <w:sz w:val="24"/>
          <w:szCs w:val="24"/>
        </w:rPr>
        <w:t>встроенные в здания гаражи</w:t>
      </w:r>
      <w:proofErr w:type="gramEnd"/>
      <w:r w:rsidRPr="00CD0893">
        <w:rPr>
          <w:rFonts w:ascii="Times New Roman" w:hAnsi="Times New Roman"/>
          <w:sz w:val="24"/>
          <w:szCs w:val="24"/>
        </w:rPr>
        <w:t xml:space="preserve">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жилые дома секционн</w:t>
      </w:r>
      <w:r w:rsidR="00AE1CC8">
        <w:rPr>
          <w:rFonts w:ascii="Times New Roman" w:hAnsi="Times New Roman"/>
          <w:sz w:val="24"/>
          <w:szCs w:val="24"/>
        </w:rPr>
        <w:t xml:space="preserve">ого и блокированного </w:t>
      </w:r>
      <w:proofErr w:type="gramStart"/>
      <w:r w:rsidR="00AE1CC8">
        <w:rPr>
          <w:rFonts w:ascii="Times New Roman" w:hAnsi="Times New Roman"/>
          <w:sz w:val="24"/>
          <w:szCs w:val="24"/>
        </w:rPr>
        <w:t>типа  в</w:t>
      </w:r>
      <w:proofErr w:type="gramEnd"/>
      <w:r w:rsidR="00AE1CC8">
        <w:rPr>
          <w:rFonts w:ascii="Times New Roman" w:hAnsi="Times New Roman"/>
          <w:sz w:val="24"/>
          <w:szCs w:val="24"/>
        </w:rPr>
        <w:t xml:space="preserve">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1-</w:t>
      </w:r>
      <w:proofErr w:type="gramStart"/>
      <w:r w:rsidR="00BC5F72">
        <w:rPr>
          <w:rFonts w:ascii="Times New Roman" w:hAnsi="Times New Roman"/>
          <w:sz w:val="24"/>
          <w:szCs w:val="24"/>
        </w:rPr>
        <w:t xml:space="preserve">3 </w:t>
      </w:r>
      <w:r w:rsidRPr="00CD0893">
        <w:rPr>
          <w:rFonts w:ascii="Times New Roman" w:hAnsi="Times New Roman"/>
          <w:sz w:val="24"/>
          <w:szCs w:val="24"/>
        </w:rPr>
        <w:t xml:space="preserve"> этажа</w:t>
      </w:r>
      <w:proofErr w:type="gramEnd"/>
      <w:r w:rsidRPr="00CD0893">
        <w:rPr>
          <w:rFonts w:ascii="Times New Roman" w:hAnsi="Times New Roman"/>
          <w:sz w:val="24"/>
          <w:szCs w:val="24"/>
        </w:rPr>
        <w:t>,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780AF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827"/>
      </w:tblGrid>
      <w:tr w:rsidR="00780AF9" w:rsidRPr="006B06CC" w:rsidTr="00050852">
        <w:trPr>
          <w:trHeight w:val="534"/>
        </w:trPr>
        <w:tc>
          <w:tcPr>
            <w:tcW w:w="3684"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Наименование объекта</w:t>
            </w:r>
          </w:p>
        </w:tc>
        <w:tc>
          <w:tcPr>
            <w:tcW w:w="2520"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Число мест</w:t>
            </w:r>
          </w:p>
        </w:tc>
        <w:tc>
          <w:tcPr>
            <w:tcW w:w="3827"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Размеры земельных участков</w:t>
            </w:r>
          </w:p>
        </w:tc>
      </w:tr>
      <w:tr w:rsidR="00780AF9" w:rsidRPr="006B06CC" w:rsidTr="00050852">
        <w:trPr>
          <w:trHeight w:val="1379"/>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827" w:type="dxa"/>
            <w:vMerge w:val="restart"/>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 xml:space="preserve">В зависимости от этажности здания, м2 на 1 сотрудника: </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60-40 при этажности 2-3</w:t>
            </w:r>
          </w:p>
        </w:tc>
      </w:tr>
      <w:tr w:rsidR="00780AF9" w:rsidRPr="006B06CC" w:rsidTr="00050852">
        <w:trPr>
          <w:trHeight w:val="83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многофункциональные деловые и обслуживающие здания;</w:t>
            </w:r>
          </w:p>
        </w:tc>
        <w:tc>
          <w:tcPr>
            <w:tcW w:w="2520" w:type="dxa"/>
            <w:vMerge/>
            <w:shd w:val="clear" w:color="auto" w:fill="auto"/>
          </w:tcPr>
          <w:p w:rsidR="00780AF9" w:rsidRPr="00AC0BBC" w:rsidRDefault="00780AF9" w:rsidP="00AC0BBC">
            <w:pPr>
              <w:jc w:val="both"/>
              <w:rPr>
                <w:rFonts w:ascii="Times New Roman" w:hAnsi="Times New Roman"/>
                <w:i/>
                <w:sz w:val="24"/>
                <w:szCs w:val="24"/>
              </w:rPr>
            </w:pP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281"/>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офисы;</w:t>
            </w:r>
          </w:p>
        </w:tc>
        <w:tc>
          <w:tcPr>
            <w:tcW w:w="2520" w:type="dxa"/>
            <w:vMerge/>
            <w:shd w:val="clear" w:color="auto" w:fill="auto"/>
          </w:tcPr>
          <w:p w:rsidR="00780AF9" w:rsidRPr="00AC0BBC" w:rsidRDefault="00780AF9" w:rsidP="00AC0BBC">
            <w:pPr>
              <w:jc w:val="both"/>
              <w:rPr>
                <w:rFonts w:ascii="Times New Roman" w:hAnsi="Times New Roman"/>
                <w:i/>
                <w:sz w:val="24"/>
                <w:szCs w:val="24"/>
              </w:rPr>
            </w:pP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296"/>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представительства;</w:t>
            </w:r>
          </w:p>
        </w:tc>
        <w:tc>
          <w:tcPr>
            <w:tcW w:w="2520" w:type="dxa"/>
            <w:vMerge/>
            <w:shd w:val="clear" w:color="auto" w:fill="auto"/>
          </w:tcPr>
          <w:p w:rsidR="00780AF9" w:rsidRPr="00AC0BBC" w:rsidRDefault="00780AF9" w:rsidP="00AC0BBC">
            <w:pPr>
              <w:jc w:val="both"/>
              <w:rPr>
                <w:rFonts w:ascii="Times New Roman" w:hAnsi="Times New Roman"/>
                <w:i/>
                <w:sz w:val="24"/>
                <w:szCs w:val="24"/>
              </w:rPr>
            </w:pP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1082"/>
        </w:trPr>
        <w:tc>
          <w:tcPr>
            <w:tcW w:w="3684" w:type="dxa"/>
            <w:vMerge w:val="restart"/>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780AF9" w:rsidRPr="00AC0BBC" w:rsidRDefault="00780AF9" w:rsidP="00AC0BBC">
            <w:pPr>
              <w:shd w:val="clear" w:color="auto" w:fill="FFFFFF"/>
              <w:jc w:val="both"/>
              <w:rPr>
                <w:rFonts w:ascii="Times New Roman" w:hAnsi="Times New Roman"/>
                <w:i/>
                <w:sz w:val="24"/>
                <w:szCs w:val="24"/>
              </w:rPr>
            </w:pPr>
            <w:r w:rsidRPr="00AC0BBC">
              <w:rPr>
                <w:rFonts w:ascii="Times New Roman" w:hAnsi="Times New Roman"/>
                <w:i/>
                <w:sz w:val="24"/>
                <w:szCs w:val="24"/>
              </w:rPr>
              <w:t>Операционная касса на 10-30 тыс. чел.</w:t>
            </w:r>
          </w:p>
        </w:tc>
        <w:tc>
          <w:tcPr>
            <w:tcW w:w="3827" w:type="dxa"/>
            <w:tcBorders>
              <w:top w:val="nil"/>
              <w:left w:val="single" w:sz="4" w:space="0" w:color="auto"/>
              <w:bottom w:val="nil"/>
              <w:right w:val="single" w:sz="4" w:space="0" w:color="auto"/>
            </w:tcBorders>
            <w:shd w:val="clear" w:color="auto" w:fill="FFFFFF"/>
          </w:tcPr>
          <w:p w:rsidR="00780AF9" w:rsidRPr="00AC0BBC" w:rsidRDefault="00780AF9" w:rsidP="00AC0BBC">
            <w:pPr>
              <w:shd w:val="clear" w:color="auto" w:fill="FFFFFF"/>
              <w:jc w:val="both"/>
              <w:rPr>
                <w:rFonts w:ascii="Times New Roman" w:hAnsi="Times New Roman"/>
                <w:i/>
                <w:sz w:val="24"/>
                <w:szCs w:val="24"/>
              </w:rPr>
            </w:pPr>
            <w:r w:rsidRPr="00AC0BBC">
              <w:rPr>
                <w:rFonts w:ascii="Times New Roman" w:hAnsi="Times New Roman"/>
                <w:i/>
                <w:sz w:val="24"/>
                <w:szCs w:val="24"/>
              </w:rPr>
              <w:t>0,2 га - при 2 операционных кассах</w:t>
            </w:r>
          </w:p>
          <w:p w:rsidR="00780AF9" w:rsidRPr="00AC0BBC" w:rsidRDefault="00780AF9" w:rsidP="00AC0BBC">
            <w:pPr>
              <w:shd w:val="clear" w:color="auto" w:fill="FFFFFF"/>
              <w:jc w:val="both"/>
              <w:rPr>
                <w:rFonts w:ascii="Times New Roman" w:hAnsi="Times New Roman"/>
                <w:i/>
                <w:sz w:val="24"/>
                <w:szCs w:val="24"/>
              </w:rPr>
            </w:pPr>
            <w:r w:rsidRPr="00AC0BBC">
              <w:rPr>
                <w:rFonts w:ascii="Times New Roman" w:hAnsi="Times New Roman"/>
                <w:i/>
                <w:sz w:val="24"/>
                <w:szCs w:val="24"/>
              </w:rPr>
              <w:t>0,5 га - при 7 операционных кассах</w:t>
            </w:r>
          </w:p>
        </w:tc>
      </w:tr>
      <w:tr w:rsidR="00780AF9" w:rsidRPr="006B06CC" w:rsidTr="00050852">
        <w:trPr>
          <w:trHeight w:val="1082"/>
        </w:trPr>
        <w:tc>
          <w:tcPr>
            <w:tcW w:w="3684" w:type="dxa"/>
            <w:vMerge/>
            <w:shd w:val="clear" w:color="auto" w:fill="auto"/>
          </w:tcPr>
          <w:p w:rsidR="00780AF9" w:rsidRPr="00AC0BBC" w:rsidRDefault="00780AF9" w:rsidP="00AC0BBC">
            <w:pPr>
              <w:pStyle w:val="a4"/>
              <w:ind w:left="0"/>
              <w:jc w:val="both"/>
              <w:rPr>
                <w:rFonts w:ascii="Times New Roman" w:hAnsi="Times New Roman"/>
                <w:i/>
                <w:sz w:val="24"/>
                <w:szCs w:val="24"/>
              </w:rPr>
            </w:pP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Отделения и филиалы сберегательного банка - 1 операционное место (окно) на 1-2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0,05 га - при 3 операционных местах</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0,4 га - при 20 операционных местах</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судебные и юридические органы;</w:t>
            </w:r>
          </w:p>
        </w:tc>
        <w:tc>
          <w:tcPr>
            <w:tcW w:w="2520" w:type="dxa"/>
            <w:shd w:val="clear" w:color="auto" w:fill="auto"/>
          </w:tcPr>
          <w:p w:rsidR="00780AF9" w:rsidRPr="00AC0BBC" w:rsidRDefault="00780AF9" w:rsidP="00AC0BBC">
            <w:pPr>
              <w:jc w:val="center"/>
              <w:rPr>
                <w:rFonts w:ascii="Times New Roman" w:hAnsi="Times New Roman"/>
                <w:i/>
                <w:sz w:val="24"/>
                <w:szCs w:val="24"/>
              </w:rPr>
            </w:pPr>
            <w:r w:rsidRPr="00AC0BBC">
              <w:rPr>
                <w:rFonts w:ascii="Times New Roman" w:hAnsi="Times New Roman"/>
                <w:i/>
                <w:sz w:val="24"/>
                <w:szCs w:val="24"/>
              </w:rPr>
              <w:t xml:space="preserve">1 судья на 30 тыс. </w:t>
            </w:r>
            <w:r w:rsidRPr="00AC0BBC">
              <w:rPr>
                <w:rFonts w:ascii="Times New Roman" w:hAnsi="Times New Roman"/>
                <w:i/>
                <w:sz w:val="24"/>
                <w:szCs w:val="24"/>
              </w:rPr>
              <w:lastRenderedPageBreak/>
              <w:t>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lastRenderedPageBreak/>
              <w:t>0,15 га на объект - при 1 судье</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В зависимости от этажности здания, м2 на 1 сотрудника:</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30-15 при этажности 2-5</w:t>
            </w:r>
          </w:p>
        </w:tc>
      </w:tr>
      <w:tr w:rsidR="00780AF9" w:rsidRPr="006B06CC" w:rsidTr="00050852">
        <w:trPr>
          <w:trHeight w:val="108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гостиницы;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6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числе мест гостиницы, м2 на 1 место:</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От 25 до 100-55</w:t>
            </w:r>
          </w:p>
        </w:tc>
      </w:tr>
      <w:tr w:rsidR="00780AF9" w:rsidRPr="006B06CC" w:rsidTr="00050852">
        <w:trPr>
          <w:trHeight w:val="111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информационные туристические центры, центры обслуживания туристов;</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Туристские базы</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827" w:type="dxa"/>
            <w:shd w:val="clear" w:color="auto" w:fill="auto"/>
          </w:tcPr>
          <w:p w:rsidR="00780AF9" w:rsidRPr="00AC0BBC" w:rsidRDefault="00780AF9" w:rsidP="00AC0BBC">
            <w:pPr>
              <w:jc w:val="both"/>
              <w:rPr>
                <w:rFonts w:ascii="Times New Roman" w:hAnsi="Times New Roman"/>
                <w:i/>
                <w:sz w:val="24"/>
                <w:szCs w:val="24"/>
              </w:rPr>
            </w:pP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65-80 м2 на 1 место</w:t>
            </w:r>
          </w:p>
        </w:tc>
      </w:tr>
      <w:tr w:rsidR="00780AF9" w:rsidRPr="006B06CC" w:rsidTr="00050852">
        <w:trPr>
          <w:trHeight w:val="83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физкультурно-оздоровительные сооружения;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70-80 м2 общей площади на 1 тыс. чел.</w:t>
            </w:r>
          </w:p>
        </w:tc>
        <w:tc>
          <w:tcPr>
            <w:tcW w:w="3827" w:type="dxa"/>
            <w:vMerge w:val="restart"/>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плавательные бассейны;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20-25 м2 зеркала воды на 1 тыс. чел.</w:t>
            </w: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548"/>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спортивные залы местного значения;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60-80 м2 площади пола на 1 тыс. чел.</w:t>
            </w: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218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учреждения культуры и искусства;</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50-60 м2 площади пола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780AF9" w:rsidRPr="006B06CC" w:rsidTr="00050852">
        <w:trPr>
          <w:trHeight w:val="2729"/>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учреждения социальной защиты;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Определяются заданием на проектирование</w:t>
            </w:r>
          </w:p>
        </w:tc>
      </w:tr>
      <w:tr w:rsidR="00780AF9" w:rsidRPr="006B06CC" w:rsidTr="00050852">
        <w:trPr>
          <w:trHeight w:val="108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 xml:space="preserve">музеи, выставочные залы, картинные и художественные галереи; </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Сельские поселения до 10 тыс. чел. – 1 учреждение культуры</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Определяются заданием на проектирование</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кинотеатры, видеосалоны;</w:t>
            </w:r>
          </w:p>
        </w:tc>
        <w:tc>
          <w:tcPr>
            <w:tcW w:w="2520" w:type="dxa"/>
            <w:shd w:val="clear" w:color="auto" w:fill="auto"/>
          </w:tcPr>
          <w:p w:rsidR="00780AF9" w:rsidRPr="00AC0BBC" w:rsidRDefault="00780AF9" w:rsidP="00AC0BBC">
            <w:pPr>
              <w:jc w:val="center"/>
              <w:rPr>
                <w:rFonts w:ascii="Times New Roman" w:hAnsi="Times New Roman"/>
                <w:i/>
                <w:sz w:val="24"/>
                <w:szCs w:val="24"/>
              </w:rPr>
            </w:pPr>
            <w:r w:rsidRPr="00AC0BBC">
              <w:rPr>
                <w:rFonts w:ascii="Times New Roman" w:hAnsi="Times New Roman"/>
                <w:i/>
                <w:sz w:val="24"/>
                <w:szCs w:val="24"/>
              </w:rPr>
              <w:t>25-35 мест на 1 тыс. чел.</w:t>
            </w:r>
          </w:p>
        </w:tc>
        <w:tc>
          <w:tcPr>
            <w:tcW w:w="3827" w:type="dxa"/>
            <w:shd w:val="clear" w:color="auto" w:fill="auto"/>
          </w:tcPr>
          <w:p w:rsidR="00780AF9" w:rsidRDefault="00780AF9" w:rsidP="00AC0BBC">
            <w:r w:rsidRPr="00AC0BBC">
              <w:rPr>
                <w:rFonts w:ascii="Times New Roman" w:hAnsi="Times New Roman"/>
                <w:i/>
                <w:sz w:val="24"/>
                <w:szCs w:val="24"/>
              </w:rPr>
              <w:t>По заданию на проектирование</w:t>
            </w:r>
          </w:p>
        </w:tc>
      </w:tr>
      <w:tr w:rsidR="00780AF9" w:rsidRPr="006B06CC" w:rsidTr="00050852">
        <w:trPr>
          <w:trHeight w:val="108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библиотеки, архивы, информационные центры, справочные бюро;</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6-7,5 тыс. ед. хранения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5-6 читательское место</w:t>
            </w:r>
          </w:p>
        </w:tc>
        <w:tc>
          <w:tcPr>
            <w:tcW w:w="3827" w:type="dxa"/>
            <w:shd w:val="clear" w:color="auto" w:fill="auto"/>
          </w:tcPr>
          <w:p w:rsidR="00780AF9" w:rsidRDefault="00780AF9" w:rsidP="00AC0BBC">
            <w:r w:rsidRPr="00AC0BBC">
              <w:rPr>
                <w:rFonts w:ascii="Times New Roman" w:hAnsi="Times New Roman"/>
                <w:i/>
                <w:sz w:val="24"/>
                <w:szCs w:val="24"/>
              </w:rPr>
              <w:t>По заданию на проектирование</w:t>
            </w:r>
          </w:p>
        </w:tc>
      </w:tr>
      <w:tr w:rsidR="00780AF9" w:rsidRPr="006B06CC" w:rsidTr="00050852">
        <w:trPr>
          <w:trHeight w:val="830"/>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 xml:space="preserve">клубы (дома культуры), центры общения и досуговых занятий, залы для </w:t>
            </w:r>
            <w:proofErr w:type="gramStart"/>
            <w:r w:rsidRPr="00AC0BBC">
              <w:rPr>
                <w:rFonts w:ascii="Times New Roman" w:hAnsi="Times New Roman"/>
                <w:i/>
                <w:sz w:val="24"/>
                <w:szCs w:val="24"/>
              </w:rPr>
              <w:t>встреч,  собраний</w:t>
            </w:r>
            <w:proofErr w:type="gramEnd"/>
            <w:r w:rsidRPr="00AC0BBC">
              <w:rPr>
                <w:rFonts w:ascii="Times New Roman" w:hAnsi="Times New Roman"/>
                <w:i/>
                <w:sz w:val="24"/>
                <w:szCs w:val="24"/>
              </w:rPr>
              <w:t>, занятий детей и подростков, молодежи, взрослых многоцелевого и специализированного назначения;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80 на 1 тыс. чел.</w:t>
            </w:r>
          </w:p>
        </w:tc>
        <w:tc>
          <w:tcPr>
            <w:tcW w:w="3827" w:type="dxa"/>
            <w:shd w:val="clear" w:color="auto" w:fill="auto"/>
          </w:tcPr>
          <w:p w:rsidR="00780AF9" w:rsidRDefault="00780AF9" w:rsidP="00AC0BBC">
            <w:r w:rsidRPr="00AC0BBC">
              <w:rPr>
                <w:rFonts w:ascii="Times New Roman" w:hAnsi="Times New Roman"/>
                <w:i/>
                <w:sz w:val="24"/>
                <w:szCs w:val="24"/>
              </w:rPr>
              <w:t>По заданию на проектирование</w:t>
            </w:r>
          </w:p>
        </w:tc>
      </w:tr>
      <w:tr w:rsidR="00780AF9" w:rsidRPr="006B06CC" w:rsidTr="00050852">
        <w:trPr>
          <w:trHeight w:val="563"/>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дворец бракосочетаний;</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6B06CC" w:rsidTr="00050852">
        <w:trPr>
          <w:trHeight w:val="563"/>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залы аттракционов и игровых автоматов;</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3 м2 площади пола на 1 тыс. чел.</w:t>
            </w:r>
          </w:p>
        </w:tc>
        <w:tc>
          <w:tcPr>
            <w:tcW w:w="3827" w:type="dxa"/>
            <w:shd w:val="clear" w:color="auto" w:fill="auto"/>
          </w:tcPr>
          <w:p w:rsidR="00780AF9" w:rsidRDefault="00780AF9" w:rsidP="00AC0BBC">
            <w:r w:rsidRPr="00AC0BBC">
              <w:rPr>
                <w:rFonts w:ascii="Times New Roman" w:hAnsi="Times New Roman"/>
                <w:i/>
                <w:sz w:val="24"/>
                <w:szCs w:val="24"/>
              </w:rPr>
              <w:t>По заданию на проектирование</w:t>
            </w:r>
          </w:p>
        </w:tc>
      </w:tr>
      <w:tr w:rsidR="00780AF9" w:rsidRPr="006B06CC" w:rsidTr="00050852">
        <w:trPr>
          <w:trHeight w:val="281"/>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танцзалы, дискотеки;</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6 на 1 тыс. чел.</w:t>
            </w:r>
          </w:p>
        </w:tc>
        <w:tc>
          <w:tcPr>
            <w:tcW w:w="3827" w:type="dxa"/>
            <w:shd w:val="clear" w:color="auto" w:fill="auto"/>
          </w:tcPr>
          <w:p w:rsidR="00780AF9" w:rsidRDefault="00780AF9" w:rsidP="00AC0BBC">
            <w:r w:rsidRPr="00AC0BBC">
              <w:rPr>
                <w:rFonts w:ascii="Times New Roman" w:hAnsi="Times New Roman"/>
                <w:i/>
                <w:sz w:val="24"/>
                <w:szCs w:val="24"/>
              </w:rPr>
              <w:t>По заданию на проектирование</w:t>
            </w:r>
          </w:p>
        </w:tc>
      </w:tr>
      <w:tr w:rsidR="00780AF9" w:rsidRPr="006B06CC" w:rsidTr="00050852">
        <w:trPr>
          <w:trHeight w:val="548"/>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компьютерные центры, интернет-кафе;</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временные торговые объекты;</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218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магазины, торговые комплексы, торговые дома, дома быта;</w:t>
            </w:r>
          </w:p>
        </w:tc>
        <w:tc>
          <w:tcPr>
            <w:tcW w:w="2520" w:type="dxa"/>
            <w:shd w:val="clear" w:color="auto" w:fill="auto"/>
          </w:tcPr>
          <w:p w:rsidR="00780AF9" w:rsidRPr="00AC0BBC" w:rsidRDefault="00780AF9" w:rsidP="00AC0BBC">
            <w:pPr>
              <w:jc w:val="both"/>
              <w:rPr>
                <w:rFonts w:ascii="Times New Roman" w:hAnsi="Times New Roman"/>
                <w:i/>
                <w:sz w:val="24"/>
                <w:szCs w:val="24"/>
              </w:rPr>
            </w:pP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Торговые центры малых городов и сельских поселений с числом жителей, тыс. чел.:</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до 1 0,1-0,2 га</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1 до 3 0,2-0,4 га</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3 до 4 0,4-0,6 га</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крупные торговые комплексы;</w:t>
            </w:r>
          </w:p>
        </w:tc>
        <w:tc>
          <w:tcPr>
            <w:tcW w:w="2520" w:type="dxa"/>
            <w:vMerge w:val="restart"/>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24-40 м2 торговой площади на 1000 чел.</w:t>
            </w:r>
          </w:p>
        </w:tc>
        <w:tc>
          <w:tcPr>
            <w:tcW w:w="3827" w:type="dxa"/>
            <w:vMerge w:val="restart"/>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От 7 до 14 м2 на 1 м2 торговой площади рыночного комплекса в зависимости от вместимости:</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14 м2 - при торговой площади до 600 м2</w:t>
            </w:r>
          </w:p>
        </w:tc>
      </w:tr>
      <w:tr w:rsidR="00780AF9" w:rsidRPr="006B06CC" w:rsidTr="00050852">
        <w:trPr>
          <w:trHeight w:val="1335"/>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рынки, ярмарки, выставки товаров;</w:t>
            </w:r>
          </w:p>
        </w:tc>
        <w:tc>
          <w:tcPr>
            <w:tcW w:w="2520" w:type="dxa"/>
            <w:vMerge/>
            <w:shd w:val="clear" w:color="auto" w:fill="auto"/>
          </w:tcPr>
          <w:p w:rsidR="00780AF9" w:rsidRPr="00AC0BBC" w:rsidRDefault="00780AF9" w:rsidP="00AC0BBC">
            <w:pPr>
              <w:jc w:val="both"/>
              <w:rPr>
                <w:rFonts w:ascii="Times New Roman" w:hAnsi="Times New Roman"/>
                <w:i/>
                <w:sz w:val="24"/>
                <w:szCs w:val="24"/>
              </w:rPr>
            </w:pPr>
          </w:p>
        </w:tc>
        <w:tc>
          <w:tcPr>
            <w:tcW w:w="3827" w:type="dxa"/>
            <w:vMerge/>
            <w:shd w:val="clear" w:color="auto" w:fill="auto"/>
          </w:tcPr>
          <w:p w:rsidR="00780AF9" w:rsidRPr="00AC0BBC" w:rsidRDefault="00780AF9" w:rsidP="00AC0BBC">
            <w:pPr>
              <w:jc w:val="both"/>
              <w:rPr>
                <w:rFonts w:ascii="Times New Roman" w:hAnsi="Times New Roman"/>
                <w:i/>
                <w:sz w:val="24"/>
                <w:szCs w:val="24"/>
              </w:rPr>
            </w:pP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рекламные агентства;</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824"/>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фирмы по предоставлению услуг сотовой и пейджинговой связи;</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1379"/>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1364"/>
        </w:trPr>
        <w:tc>
          <w:tcPr>
            <w:tcW w:w="3684" w:type="dxa"/>
            <w:shd w:val="clear" w:color="auto" w:fill="auto"/>
          </w:tcPr>
          <w:p w:rsidR="00780AF9" w:rsidRPr="00AC0BBC" w:rsidRDefault="00780AF9" w:rsidP="00AC0BBC">
            <w:pPr>
              <w:numPr>
                <w:ilvl w:val="0"/>
                <w:numId w:val="11"/>
              </w:numPr>
              <w:tabs>
                <w:tab w:val="num" w:pos="426"/>
              </w:tabs>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предприятия общественного питания (столовые, кафе, закусочные, бары, рестораны);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40 мест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числе мест, га на 100 мест:</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до 50                 0,2-0,25</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50 до 150     0,2-0,15</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150               0,1</w:t>
            </w:r>
          </w:p>
        </w:tc>
      </w:tr>
      <w:tr w:rsidR="00780AF9" w:rsidRPr="006B06CC" w:rsidTr="00050852">
        <w:trPr>
          <w:trHeight w:val="786"/>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объекты бытового обслуживания;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4 места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Для предприятий мощностью, рабочих мест:</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0,1-0,2 га        10-50</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0,05-0,08 га     50-150</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0,03-0,04 га     св. 150</w:t>
            </w:r>
          </w:p>
        </w:tc>
      </w:tr>
      <w:tr w:rsidR="00780AF9" w:rsidRPr="006B06CC" w:rsidTr="00050852">
        <w:trPr>
          <w:trHeight w:val="1379"/>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281"/>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фотосалоны;</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916"/>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приёмные пункты прачечных и химчисток, прачечные самообслуживания;</w:t>
            </w:r>
          </w:p>
        </w:tc>
        <w:tc>
          <w:tcPr>
            <w:tcW w:w="2520" w:type="dxa"/>
            <w:shd w:val="clear" w:color="auto" w:fill="auto"/>
          </w:tcPr>
          <w:p w:rsidR="00780AF9" w:rsidRPr="00AC0BBC" w:rsidRDefault="00780AF9" w:rsidP="00AC0BBC">
            <w:pPr>
              <w:jc w:val="both"/>
              <w:rPr>
                <w:rFonts w:ascii="Times New Roman" w:hAnsi="Times New Roman"/>
                <w:i/>
                <w:sz w:val="24"/>
                <w:szCs w:val="24"/>
              </w:rPr>
            </w:pP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0,1-0,2 га на объект</w:t>
            </w:r>
          </w:p>
        </w:tc>
      </w:tr>
      <w:tr w:rsidR="00780AF9" w:rsidRPr="006B06CC" w:rsidTr="00050852">
        <w:trPr>
          <w:trHeight w:val="1769"/>
        </w:trPr>
        <w:tc>
          <w:tcPr>
            <w:tcW w:w="3684" w:type="dxa"/>
            <w:shd w:val="clear" w:color="auto" w:fill="auto"/>
          </w:tcPr>
          <w:p w:rsidR="00780AF9" w:rsidRPr="00AC0BBC" w:rsidRDefault="00780AF9" w:rsidP="00AC0BBC">
            <w:pPr>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r w:rsidRPr="00AC0BBC">
              <w:rPr>
                <w:rFonts w:ascii="Times New Roman" w:hAnsi="Times New Roman"/>
                <w:i/>
                <w:sz w:val="24"/>
                <w:szCs w:val="24"/>
              </w:rPr>
              <w:tab/>
            </w:r>
          </w:p>
        </w:tc>
      </w:tr>
      <w:tr w:rsidR="00780AF9" w:rsidRPr="006B06CC" w:rsidTr="00050852">
        <w:trPr>
          <w:trHeight w:val="1898"/>
        </w:trPr>
        <w:tc>
          <w:tcPr>
            <w:tcW w:w="3684" w:type="dxa"/>
            <w:shd w:val="clear" w:color="auto" w:fill="auto"/>
          </w:tcPr>
          <w:p w:rsidR="00780AF9" w:rsidRPr="00AC0BBC" w:rsidRDefault="00780AF9" w:rsidP="00AC0BBC">
            <w:pPr>
              <w:numPr>
                <w:ilvl w:val="0"/>
                <w:numId w:val="13"/>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780AF9" w:rsidRPr="00AC0BBC" w:rsidRDefault="00780AF9" w:rsidP="00AC0BBC">
            <w:pPr>
              <w:jc w:val="both"/>
              <w:rPr>
                <w:rFonts w:ascii="Times New Roman" w:hAnsi="Times New Roman"/>
                <w:i/>
                <w:sz w:val="24"/>
                <w:szCs w:val="24"/>
              </w:rPr>
            </w:pP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Отделения связи микрорайона, жилого района, га, для обслуживаемого населения, групп:</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IV-V (до 9 тыс. чел.) 0,07-0,08</w:t>
            </w:r>
          </w:p>
        </w:tc>
      </w:tr>
      <w:tr w:rsidR="00780AF9" w:rsidRPr="006B06CC" w:rsidTr="00050852">
        <w:trPr>
          <w:trHeight w:val="3917"/>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амбулаторно-поликлинические учреждения;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18,15 посещений в смену на 1 тыс. чел.</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13,47 коек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мощности стационаров, коек:</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до 50 - 150 м2 на 1 койку</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50 до 100 150-100 м2 на 1 койку</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100 до 200 100-80 м2 на одну койку</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200 до 400 80-75 м2 на 1 койку.</w:t>
            </w:r>
          </w:p>
          <w:p w:rsidR="00780AF9" w:rsidRPr="00AC0BBC" w:rsidRDefault="00780AF9" w:rsidP="00AC0BBC">
            <w:pPr>
              <w:jc w:val="both"/>
              <w:rPr>
                <w:rFonts w:ascii="Times New Roman" w:hAnsi="Times New Roman"/>
                <w:i/>
                <w:sz w:val="24"/>
                <w:szCs w:val="24"/>
              </w:rPr>
            </w:pP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На 100 посещений в смену - встроенные; 0,1 га на 100 посещений в смену, но не менее 0,2 га</w:t>
            </w:r>
          </w:p>
        </w:tc>
      </w:tr>
      <w:tr w:rsidR="00780AF9" w:rsidRPr="006B06CC" w:rsidTr="00050852">
        <w:trPr>
          <w:trHeight w:val="548"/>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аптеки;</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14 м2 общей площади</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0,2 га или встроенные</w:t>
            </w:r>
          </w:p>
        </w:tc>
      </w:tr>
      <w:tr w:rsidR="00780AF9" w:rsidRPr="006B06CC" w:rsidTr="00050852">
        <w:trPr>
          <w:trHeight w:val="815"/>
        </w:trPr>
        <w:tc>
          <w:tcPr>
            <w:tcW w:w="3684" w:type="dxa"/>
            <w:shd w:val="clear" w:color="auto" w:fill="auto"/>
          </w:tcPr>
          <w:p w:rsidR="00780AF9" w:rsidRPr="00AC0BBC" w:rsidRDefault="00780AF9" w:rsidP="00AC0BBC">
            <w:pPr>
              <w:pStyle w:val="a4"/>
              <w:numPr>
                <w:ilvl w:val="1"/>
                <w:numId w:val="9"/>
              </w:numPr>
              <w:spacing w:after="0" w:line="240" w:lineRule="auto"/>
              <w:ind w:left="0" w:firstLine="0"/>
              <w:rPr>
                <w:rFonts w:ascii="Times New Roman" w:hAnsi="Times New Roman"/>
                <w:i/>
                <w:sz w:val="24"/>
                <w:szCs w:val="24"/>
              </w:rPr>
            </w:pPr>
            <w:r w:rsidRPr="00AC0BBC">
              <w:rPr>
                <w:rFonts w:ascii="Times New Roman" w:hAnsi="Times New Roman"/>
                <w:i/>
                <w:sz w:val="24"/>
                <w:szCs w:val="24"/>
              </w:rPr>
              <w:t xml:space="preserve">пункты оказания первой медицинской помощи; </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0,1 автомобиль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0,05 га на 1 автомобиль, но не менее 0,1 га</w:t>
            </w:r>
          </w:p>
        </w:tc>
      </w:tr>
      <w:tr w:rsidR="00780AF9" w:rsidRPr="006B06CC" w:rsidTr="00050852">
        <w:trPr>
          <w:trHeight w:val="2764"/>
        </w:trPr>
        <w:tc>
          <w:tcPr>
            <w:tcW w:w="3684" w:type="dxa"/>
            <w:shd w:val="clear" w:color="auto" w:fill="auto"/>
          </w:tcPr>
          <w:p w:rsidR="00780AF9" w:rsidRPr="00AC0BBC" w:rsidRDefault="00780AF9" w:rsidP="00AC0BBC">
            <w:pPr>
              <w:pStyle w:val="a4"/>
              <w:numPr>
                <w:ilvl w:val="1"/>
                <w:numId w:val="9"/>
              </w:numPr>
              <w:spacing w:after="0" w:line="240" w:lineRule="auto"/>
              <w:ind w:left="0" w:firstLine="0"/>
              <w:rPr>
                <w:rFonts w:ascii="Times New Roman" w:hAnsi="Times New Roman"/>
                <w:i/>
                <w:sz w:val="24"/>
                <w:szCs w:val="24"/>
              </w:rPr>
            </w:pPr>
            <w:r w:rsidRPr="00AC0BBC">
              <w:rPr>
                <w:rFonts w:ascii="Times New Roman" w:hAnsi="Times New Roman"/>
                <w:i/>
                <w:sz w:val="24"/>
                <w:szCs w:val="24"/>
              </w:rPr>
              <w:t xml:space="preserve">детские сады, иные </w:t>
            </w:r>
            <w:proofErr w:type="gramStart"/>
            <w:r w:rsidRPr="00AC0BBC">
              <w:rPr>
                <w:rFonts w:ascii="Times New Roman" w:hAnsi="Times New Roman"/>
                <w:i/>
                <w:sz w:val="24"/>
                <w:szCs w:val="24"/>
              </w:rPr>
              <w:t>объекты  дошкольного</w:t>
            </w:r>
            <w:proofErr w:type="gramEnd"/>
            <w:r w:rsidRPr="00AC0BBC">
              <w:rPr>
                <w:rFonts w:ascii="Times New Roman" w:hAnsi="Times New Roman"/>
                <w:i/>
                <w:sz w:val="24"/>
                <w:szCs w:val="24"/>
              </w:rPr>
              <w:t xml:space="preserve"> воспитания;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40 мест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80AF9" w:rsidRPr="006B06CC" w:rsidTr="00050852">
        <w:trPr>
          <w:trHeight w:val="439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школы общеобразовательные, начальные и средние;</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104 мест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вместимости общеобразовательной школы, учащихся: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40 до 400 50 м2 на 1 учащегося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400 до 500 60 м2 на 1 учащегося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80AF9" w:rsidRPr="006B06CC" w:rsidTr="00050852">
        <w:trPr>
          <w:trHeight w:val="111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многопрофильные учреждения дополнительного образования;</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AC0BBC">
              <w:rPr>
                <w:rFonts w:ascii="Times New Roman" w:hAnsi="Times New Roman"/>
                <w:i/>
                <w:sz w:val="24"/>
                <w:szCs w:val="24"/>
              </w:rPr>
              <w:t>натура-листов</w:t>
            </w:r>
            <w:proofErr w:type="gramEnd"/>
            <w:r w:rsidRPr="00AC0BBC">
              <w:rPr>
                <w:rFonts w:ascii="Times New Roman" w:hAnsi="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6B06CC" w:rsidTr="00050852">
        <w:trPr>
          <w:trHeight w:val="2480"/>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shd w:val="clear" w:color="auto" w:fill="auto"/>
          </w:tcPr>
          <w:p w:rsidR="00780AF9" w:rsidRPr="00AC0BBC" w:rsidRDefault="00780AF9" w:rsidP="00AC0BBC">
            <w:pPr>
              <w:jc w:val="both"/>
              <w:rPr>
                <w:rFonts w:ascii="Times New Roman" w:hAnsi="Times New Roman"/>
                <w:i/>
                <w:sz w:val="24"/>
                <w:szCs w:val="24"/>
              </w:rPr>
            </w:pP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до 300 75 м2 на 1 учащегося</w:t>
            </w:r>
          </w:p>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св. 300 до 900 50-65 м2 на 1 учащегося</w:t>
            </w:r>
          </w:p>
        </w:tc>
      </w:tr>
      <w:tr w:rsidR="00780AF9" w:rsidRPr="006B06CC" w:rsidTr="00050852">
        <w:trPr>
          <w:trHeight w:val="1112"/>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780AF9" w:rsidRPr="00AC0BBC" w:rsidRDefault="00780AF9" w:rsidP="00AC0BBC">
            <w:pPr>
              <w:tabs>
                <w:tab w:val="left" w:pos="0"/>
              </w:tabs>
              <w:contextualSpacing/>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827" w:type="dxa"/>
            <w:tcBorders>
              <w:top w:val="nil"/>
              <w:left w:val="nil"/>
              <w:bottom w:val="single" w:sz="4" w:space="0" w:color="auto"/>
              <w:right w:val="single" w:sz="4" w:space="0" w:color="auto"/>
            </w:tcBorders>
            <w:shd w:val="clear" w:color="000000" w:fill="FFFFFF"/>
          </w:tcPr>
          <w:p w:rsidR="00780AF9" w:rsidRPr="00AC0BBC" w:rsidRDefault="00780AF9" w:rsidP="00AC0BBC">
            <w:pPr>
              <w:tabs>
                <w:tab w:val="left" w:pos="0"/>
              </w:tabs>
              <w:contextualSpacing/>
              <w:rPr>
                <w:rFonts w:ascii="Times New Roman" w:hAnsi="Times New Roman"/>
                <w:i/>
                <w:sz w:val="24"/>
                <w:szCs w:val="24"/>
              </w:rPr>
            </w:pPr>
            <w:r w:rsidRPr="00AC0BBC">
              <w:rPr>
                <w:rFonts w:ascii="Times New Roman" w:hAnsi="Times New Roman"/>
                <w:i/>
                <w:sz w:val="24"/>
                <w:szCs w:val="24"/>
              </w:rPr>
              <w:t>При этажности здания (м2 на 1 сотрудника): 3-5 этажей – 44-18,5</w:t>
            </w:r>
          </w:p>
        </w:tc>
      </w:tr>
      <w:tr w:rsidR="00780AF9" w:rsidRPr="006B06CC" w:rsidTr="00050852">
        <w:trPr>
          <w:trHeight w:val="563"/>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отделения, участковые пункты полиции;</w:t>
            </w:r>
          </w:p>
        </w:tc>
        <w:tc>
          <w:tcPr>
            <w:tcW w:w="6347" w:type="dxa"/>
            <w:gridSpan w:val="2"/>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6B06CC" w:rsidTr="00050852">
        <w:trPr>
          <w:trHeight w:val="578"/>
        </w:trPr>
        <w:tc>
          <w:tcPr>
            <w:tcW w:w="3684" w:type="dxa"/>
            <w:shd w:val="clear" w:color="auto" w:fill="auto"/>
          </w:tcPr>
          <w:p w:rsidR="00780AF9" w:rsidRPr="00AC0BBC" w:rsidRDefault="00780AF9" w:rsidP="00AC0BBC">
            <w:pPr>
              <w:pStyle w:val="a4"/>
              <w:numPr>
                <w:ilvl w:val="0"/>
                <w:numId w:val="10"/>
              </w:numPr>
              <w:spacing w:after="0" w:line="240" w:lineRule="auto"/>
              <w:ind w:left="0" w:firstLine="0"/>
              <w:jc w:val="both"/>
              <w:rPr>
                <w:rFonts w:ascii="Times New Roman" w:hAnsi="Times New Roman"/>
                <w:i/>
                <w:sz w:val="24"/>
                <w:szCs w:val="24"/>
              </w:rPr>
            </w:pPr>
            <w:r w:rsidRPr="00AC0BBC">
              <w:rPr>
                <w:rFonts w:ascii="Times New Roman" w:hAnsi="Times New Roman"/>
                <w:i/>
                <w:sz w:val="24"/>
                <w:szCs w:val="24"/>
              </w:rPr>
              <w:t>общественные туалеты.</w:t>
            </w:r>
          </w:p>
        </w:tc>
        <w:tc>
          <w:tcPr>
            <w:tcW w:w="2520"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1 прибор на 1 тыс. чел.</w:t>
            </w:r>
          </w:p>
        </w:tc>
        <w:tc>
          <w:tcPr>
            <w:tcW w:w="3827" w:type="dxa"/>
            <w:shd w:val="clear" w:color="auto" w:fill="auto"/>
          </w:tcPr>
          <w:p w:rsidR="00780AF9" w:rsidRPr="00AC0BBC" w:rsidRDefault="00780AF9"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r>
    </w:tbl>
    <w:p w:rsidR="00780AF9" w:rsidRDefault="00780AF9" w:rsidP="00780AF9">
      <w:pPr>
        <w:spacing w:after="0"/>
        <w:ind w:firstLine="851"/>
        <w:jc w:val="both"/>
        <w:rPr>
          <w:rFonts w:ascii="Times New Roman" w:hAnsi="Times New Roman"/>
          <w:i/>
          <w:sz w:val="24"/>
          <w:szCs w:val="24"/>
        </w:rPr>
      </w:pPr>
    </w:p>
    <w:p w:rsidR="00780AF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050852"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Default="00B37F2D" w:rsidP="00490145">
      <w:pPr>
        <w:spacing w:after="0" w:line="240" w:lineRule="auto"/>
        <w:ind w:firstLine="709"/>
        <w:jc w:val="both"/>
        <w:rPr>
          <w:rFonts w:ascii="Times New Roman" w:hAnsi="Times New Roman"/>
          <w:i/>
          <w:sz w:val="24"/>
          <w:szCs w:val="24"/>
        </w:rPr>
      </w:pPr>
    </w:p>
    <w:p w:rsidR="00780AF9" w:rsidRPr="00CD0893" w:rsidRDefault="00780AF9"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организации, </w:t>
      </w:r>
      <w:proofErr w:type="gramStart"/>
      <w:r w:rsidRPr="00CD0893">
        <w:rPr>
          <w:rFonts w:ascii="Times New Roman" w:hAnsi="Times New Roman"/>
          <w:sz w:val="24"/>
          <w:szCs w:val="24"/>
        </w:rPr>
        <w:t>учреждения,  управления</w:t>
      </w:r>
      <w:proofErr w:type="gramEnd"/>
      <w:r w:rsidRPr="00CD0893">
        <w:rPr>
          <w:rFonts w:ascii="Times New Roman" w:hAnsi="Times New Roman"/>
          <w:sz w:val="24"/>
          <w:szCs w:val="24"/>
        </w:rPr>
        <w:t>.</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780AF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969"/>
      </w:tblGrid>
      <w:tr w:rsidR="00780AF9" w:rsidRPr="006B06CC" w:rsidTr="00050852">
        <w:trPr>
          <w:trHeight w:val="534"/>
        </w:trPr>
        <w:tc>
          <w:tcPr>
            <w:tcW w:w="3684" w:type="dxa"/>
            <w:shd w:val="clear" w:color="auto" w:fill="auto"/>
          </w:tcPr>
          <w:p w:rsidR="00780AF9" w:rsidRPr="00AC0BBC" w:rsidRDefault="00780AF9" w:rsidP="00AC0BBC">
            <w:pPr>
              <w:rPr>
                <w:rFonts w:ascii="Times New Roman" w:hAnsi="Times New Roman"/>
                <w:b/>
                <w:i/>
                <w:sz w:val="24"/>
                <w:szCs w:val="24"/>
              </w:rPr>
            </w:pPr>
            <w:r w:rsidRPr="00AC0BBC">
              <w:rPr>
                <w:rFonts w:ascii="Times New Roman" w:hAnsi="Times New Roman"/>
                <w:b/>
                <w:i/>
                <w:sz w:val="24"/>
                <w:szCs w:val="24"/>
              </w:rPr>
              <w:t>Наименование объекта</w:t>
            </w:r>
          </w:p>
        </w:tc>
        <w:tc>
          <w:tcPr>
            <w:tcW w:w="2520" w:type="dxa"/>
            <w:shd w:val="clear" w:color="auto" w:fill="auto"/>
          </w:tcPr>
          <w:p w:rsidR="00780AF9" w:rsidRPr="00AC0BBC" w:rsidRDefault="00780AF9" w:rsidP="00AC0BBC">
            <w:pPr>
              <w:rPr>
                <w:rFonts w:ascii="Times New Roman" w:hAnsi="Times New Roman"/>
                <w:b/>
                <w:i/>
                <w:sz w:val="24"/>
                <w:szCs w:val="24"/>
              </w:rPr>
            </w:pPr>
            <w:r w:rsidRPr="00AC0BBC">
              <w:rPr>
                <w:rFonts w:ascii="Times New Roman" w:hAnsi="Times New Roman"/>
                <w:b/>
                <w:i/>
                <w:sz w:val="24"/>
                <w:szCs w:val="24"/>
              </w:rPr>
              <w:t>Число мест</w:t>
            </w:r>
          </w:p>
        </w:tc>
        <w:tc>
          <w:tcPr>
            <w:tcW w:w="3969" w:type="dxa"/>
            <w:shd w:val="clear" w:color="auto" w:fill="auto"/>
          </w:tcPr>
          <w:p w:rsidR="00780AF9" w:rsidRPr="00AC0BBC" w:rsidRDefault="00780AF9" w:rsidP="00AC0BBC">
            <w:pPr>
              <w:rPr>
                <w:rFonts w:ascii="Times New Roman" w:hAnsi="Times New Roman"/>
                <w:b/>
                <w:i/>
                <w:sz w:val="24"/>
                <w:szCs w:val="24"/>
              </w:rPr>
            </w:pPr>
            <w:r w:rsidRPr="00AC0BBC">
              <w:rPr>
                <w:rFonts w:ascii="Times New Roman" w:hAnsi="Times New Roman"/>
                <w:b/>
                <w:i/>
                <w:sz w:val="24"/>
                <w:szCs w:val="24"/>
              </w:rPr>
              <w:t>Размеры земельных участков</w:t>
            </w:r>
          </w:p>
        </w:tc>
      </w:tr>
      <w:tr w:rsidR="00780AF9" w:rsidRPr="006B06CC" w:rsidTr="00050852">
        <w:trPr>
          <w:trHeight w:val="2764"/>
        </w:trPr>
        <w:tc>
          <w:tcPr>
            <w:tcW w:w="3684" w:type="dxa"/>
            <w:shd w:val="clear" w:color="auto" w:fill="auto"/>
          </w:tcPr>
          <w:p w:rsidR="00780AF9" w:rsidRPr="00AC0BBC" w:rsidRDefault="00780AF9" w:rsidP="00AC0BBC">
            <w:pPr>
              <w:pStyle w:val="a4"/>
              <w:numPr>
                <w:ilvl w:val="1"/>
                <w:numId w:val="9"/>
              </w:numPr>
              <w:spacing w:after="0" w:line="240" w:lineRule="auto"/>
              <w:rPr>
                <w:rFonts w:ascii="Times New Roman" w:hAnsi="Times New Roman"/>
                <w:i/>
                <w:sz w:val="24"/>
                <w:szCs w:val="24"/>
              </w:rPr>
            </w:pPr>
            <w:r w:rsidRPr="00AC0BBC">
              <w:rPr>
                <w:rFonts w:ascii="Times New Roman" w:hAnsi="Times New Roman"/>
                <w:i/>
                <w:sz w:val="24"/>
                <w:szCs w:val="24"/>
              </w:rPr>
              <w:t>детские дошкольные учреждения;</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40 мест на 1 тыс. чел.</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школы общеобразовательные;</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xml:space="preserve">104 мест на 1 тыс. </w:t>
            </w:r>
            <w:r w:rsidRPr="00AC0BBC">
              <w:rPr>
                <w:rFonts w:ascii="Times New Roman" w:hAnsi="Times New Roman"/>
                <w:i/>
                <w:sz w:val="24"/>
                <w:szCs w:val="24"/>
              </w:rPr>
              <w:lastRenderedPageBreak/>
              <w:t>чел.</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lastRenderedPageBreak/>
              <w:t xml:space="preserve">При вместимости общеобразовательной школы, </w:t>
            </w:r>
            <w:r w:rsidRPr="00AC0BBC">
              <w:rPr>
                <w:rFonts w:ascii="Times New Roman" w:hAnsi="Times New Roman"/>
                <w:i/>
                <w:sz w:val="24"/>
                <w:szCs w:val="24"/>
              </w:rPr>
              <w:lastRenderedPageBreak/>
              <w:t>учащихся: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40 до 400 50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400 до 500 60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648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до 300 75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300 до 900 50-65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900 до 1600 30-40 м2 на 1 учащегося</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высшие учебные заведения;</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w:t>
            </w:r>
            <w:r w:rsidRPr="00AC0BBC">
              <w:rPr>
                <w:rFonts w:ascii="Times New Roman" w:hAnsi="Times New Roman"/>
                <w:i/>
                <w:sz w:val="24"/>
                <w:szCs w:val="24"/>
              </w:rPr>
              <w:lastRenderedPageBreak/>
              <w:t>спортивная зона - 1-2; зона студенческих общежитий - 1,5-3. Вузы физической культуры проектируются 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lastRenderedPageBreak/>
              <w:t>- многопрофильные учреждения дополнительного образования;</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2048"/>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школы-интернаты;</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При вместимости общеобразовательной школы-интерната, учащихся: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200 до 300 70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300 до 500 65 м2 на 1 учащегося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св. 500 и более 45 м2 на 1 учащегося</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танцзалы, дискотеки;</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6 на 1 тыс. чел.</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учебно-лабораторные, научно-лабораторные корпуса, учебно-производственные мастерские;</w:t>
            </w:r>
          </w:p>
        </w:tc>
        <w:tc>
          <w:tcPr>
            <w:tcW w:w="648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xml:space="preserve">- мастерские (художественные, </w:t>
            </w:r>
            <w:r w:rsidRPr="00AC0BBC">
              <w:rPr>
                <w:rFonts w:ascii="Times New Roman" w:hAnsi="Times New Roman"/>
                <w:i/>
                <w:sz w:val="24"/>
                <w:szCs w:val="24"/>
              </w:rPr>
              <w:lastRenderedPageBreak/>
              <w:t>скульптурные, столярные и др.);</w:t>
            </w:r>
          </w:p>
        </w:tc>
        <w:tc>
          <w:tcPr>
            <w:tcW w:w="648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lastRenderedPageBreak/>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lastRenderedPageBreak/>
              <w:t>- станция юных техников (натуралистов, туристов);</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0,9 % общего числа школьников</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библиотеки, архивы;</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6-7,5 тыс. ед. хранения</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5-6 читательское место</w:t>
            </w:r>
          </w:p>
        </w:tc>
        <w:tc>
          <w:tcPr>
            <w:tcW w:w="3969"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спортзалы, залы рекреации (с бассейном или без);</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20-25 м2 зеркала воды на 1 тыс. чел.</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60-80 м2 площади пола на 1 тыс. чел.</w:t>
            </w:r>
          </w:p>
        </w:tc>
        <w:tc>
          <w:tcPr>
            <w:tcW w:w="3969" w:type="dxa"/>
            <w:vMerge w:val="restart"/>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80AF9" w:rsidRPr="00A1694C" w:rsidTr="00050852">
        <w:trPr>
          <w:trHeight w:val="534"/>
        </w:trPr>
        <w:tc>
          <w:tcPr>
            <w:tcW w:w="3684"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 спортивные площадки, стадионы, теннисные корты.</w:t>
            </w:r>
          </w:p>
        </w:tc>
        <w:tc>
          <w:tcPr>
            <w:tcW w:w="2520"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70-80 м2 общей площади на 1 тыс. чел.</w:t>
            </w:r>
          </w:p>
        </w:tc>
        <w:tc>
          <w:tcPr>
            <w:tcW w:w="3969" w:type="dxa"/>
            <w:vMerge/>
            <w:shd w:val="clear" w:color="auto" w:fill="auto"/>
          </w:tcPr>
          <w:p w:rsidR="00780AF9" w:rsidRPr="00AC0BBC" w:rsidRDefault="00780AF9" w:rsidP="00AC0BBC">
            <w:pPr>
              <w:rPr>
                <w:rFonts w:ascii="Times New Roman" w:hAnsi="Times New Roman"/>
                <w:i/>
                <w:sz w:val="24"/>
                <w:szCs w:val="24"/>
              </w:rPr>
            </w:pPr>
          </w:p>
        </w:tc>
      </w:tr>
    </w:tbl>
    <w:p w:rsidR="00780AF9" w:rsidRDefault="00780AF9" w:rsidP="00780AF9">
      <w:pPr>
        <w:spacing w:after="0"/>
        <w:ind w:firstLine="851"/>
        <w:jc w:val="both"/>
        <w:rPr>
          <w:rFonts w:ascii="Times New Roman" w:hAnsi="Times New Roman"/>
          <w:i/>
          <w:sz w:val="24"/>
          <w:szCs w:val="24"/>
        </w:rPr>
      </w:pPr>
    </w:p>
    <w:p w:rsidR="00780AF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050852"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780AF9" w:rsidRPr="009A31E9" w:rsidRDefault="00780AF9" w:rsidP="00780AF9">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w:t>
      </w:r>
      <w:r w:rsidR="004B4688">
        <w:rPr>
          <w:rFonts w:ascii="Times New Roman" w:hAnsi="Times New Roman"/>
          <w:b/>
          <w:iCs/>
          <w:sz w:val="24"/>
          <w:szCs w:val="24"/>
          <w:u w:val="single"/>
        </w:rPr>
        <w:t>3</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lastRenderedPageBreak/>
        <w:t>хозяйственные корпуса;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780AF9" w:rsidRPr="003F218C" w:rsidRDefault="00780AF9" w:rsidP="00780AF9">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3</w:t>
      </w:r>
      <w:r w:rsidRPr="003F218C">
        <w:rPr>
          <w:rFonts w:ascii="Times New Roman" w:hAnsi="Times New Roman"/>
          <w:i/>
          <w:sz w:val="24"/>
          <w:szCs w:val="24"/>
        </w:rPr>
        <w:t xml:space="preserve"> включают в себя:</w:t>
      </w:r>
    </w:p>
    <w:p w:rsidR="00780AF9" w:rsidRPr="003F218C" w:rsidRDefault="00780AF9" w:rsidP="00780AF9">
      <w:pPr>
        <w:spacing w:after="0"/>
        <w:ind w:firstLine="851"/>
        <w:jc w:val="both"/>
        <w:rPr>
          <w:rFonts w:ascii="Times New Roman" w:hAnsi="Times New Roman"/>
          <w:i/>
          <w:sz w:val="24"/>
          <w:szCs w:val="24"/>
        </w:rPr>
      </w:pPr>
      <w:r w:rsidRPr="003F218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4536"/>
      </w:tblGrid>
      <w:tr w:rsidR="00780AF9" w:rsidRPr="003F218C" w:rsidTr="00050852">
        <w:trPr>
          <w:trHeight w:val="534"/>
        </w:trPr>
        <w:tc>
          <w:tcPr>
            <w:tcW w:w="3794"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Наименование объекта</w:t>
            </w:r>
          </w:p>
        </w:tc>
        <w:tc>
          <w:tcPr>
            <w:tcW w:w="1843"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Число мест</w:t>
            </w:r>
          </w:p>
        </w:tc>
        <w:tc>
          <w:tcPr>
            <w:tcW w:w="4536" w:type="dxa"/>
            <w:shd w:val="clear" w:color="auto" w:fill="auto"/>
            <w:vAlign w:val="center"/>
          </w:tcPr>
          <w:p w:rsidR="00780AF9" w:rsidRPr="00AC0BBC" w:rsidRDefault="00780AF9" w:rsidP="00AC0BBC">
            <w:pPr>
              <w:jc w:val="center"/>
              <w:rPr>
                <w:rFonts w:ascii="Times New Roman" w:hAnsi="Times New Roman"/>
                <w:b/>
                <w:i/>
                <w:sz w:val="24"/>
                <w:szCs w:val="24"/>
              </w:rPr>
            </w:pPr>
            <w:r w:rsidRPr="00AC0BBC">
              <w:rPr>
                <w:rFonts w:ascii="Times New Roman" w:hAnsi="Times New Roman"/>
                <w:b/>
                <w:i/>
                <w:sz w:val="24"/>
                <w:szCs w:val="24"/>
              </w:rPr>
              <w:t>Размеры земельных участков</w:t>
            </w:r>
          </w:p>
        </w:tc>
      </w:tr>
      <w:tr w:rsidR="00780AF9" w:rsidRPr="003F218C" w:rsidTr="00050852">
        <w:trPr>
          <w:trHeight w:val="1042"/>
        </w:trPr>
        <w:tc>
          <w:tcPr>
            <w:tcW w:w="3794" w:type="dxa"/>
            <w:shd w:val="clear" w:color="auto" w:fill="auto"/>
          </w:tcPr>
          <w:p w:rsidR="00780AF9" w:rsidRPr="00AC0BBC" w:rsidRDefault="00780AF9" w:rsidP="00AC0BBC">
            <w:pPr>
              <w:pStyle w:val="a4"/>
              <w:numPr>
                <w:ilvl w:val="0"/>
                <w:numId w:val="10"/>
              </w:numPr>
              <w:spacing w:after="0" w:line="240" w:lineRule="auto"/>
              <w:ind w:left="0" w:firstLine="0"/>
              <w:rPr>
                <w:rFonts w:ascii="Times New Roman" w:hAnsi="Times New Roman"/>
                <w:i/>
                <w:sz w:val="24"/>
                <w:szCs w:val="24"/>
              </w:rPr>
            </w:pPr>
            <w:r w:rsidRPr="00AC0BBC">
              <w:rPr>
                <w:rFonts w:ascii="Times New Roman" w:hAnsi="Times New Roman"/>
                <w:i/>
                <w:sz w:val="24"/>
                <w:szCs w:val="24"/>
              </w:rPr>
              <w:t>объекты, связанные с отправлением культа;</w:t>
            </w:r>
          </w:p>
        </w:tc>
        <w:tc>
          <w:tcPr>
            <w:tcW w:w="1843"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Приходской храм, 1 место</w:t>
            </w:r>
          </w:p>
        </w:tc>
        <w:tc>
          <w:tcPr>
            <w:tcW w:w="4536"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7,5 храмов на 1000 православных верующих, 7 м2 на место</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Размещение по согласованию с местной епархией</w:t>
            </w:r>
          </w:p>
        </w:tc>
      </w:tr>
      <w:tr w:rsidR="00780AF9" w:rsidRPr="003F218C" w:rsidTr="00050852">
        <w:trPr>
          <w:trHeight w:val="563"/>
        </w:trPr>
        <w:tc>
          <w:tcPr>
            <w:tcW w:w="3794" w:type="dxa"/>
            <w:shd w:val="clear" w:color="auto" w:fill="auto"/>
          </w:tcPr>
          <w:p w:rsidR="00780AF9" w:rsidRPr="00AC0BBC" w:rsidRDefault="00780AF9" w:rsidP="00AC0BBC">
            <w:pPr>
              <w:pStyle w:val="a4"/>
              <w:numPr>
                <w:ilvl w:val="0"/>
                <w:numId w:val="10"/>
              </w:numPr>
              <w:spacing w:after="0" w:line="240" w:lineRule="auto"/>
              <w:ind w:left="0" w:firstLine="0"/>
              <w:rPr>
                <w:rFonts w:ascii="Times New Roman" w:hAnsi="Times New Roman"/>
                <w:i/>
                <w:sz w:val="24"/>
                <w:szCs w:val="24"/>
              </w:rPr>
            </w:pPr>
            <w:r w:rsidRPr="00AC0BBC">
              <w:rPr>
                <w:rFonts w:ascii="Times New Roman" w:hAnsi="Times New Roman"/>
                <w:i/>
                <w:sz w:val="24"/>
                <w:szCs w:val="24"/>
              </w:rPr>
              <w:t>объекты, сопутствующие отправлению культа;</w:t>
            </w:r>
          </w:p>
        </w:tc>
        <w:tc>
          <w:tcPr>
            <w:tcW w:w="637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3F218C" w:rsidTr="00050852">
        <w:trPr>
          <w:trHeight w:val="563"/>
        </w:trPr>
        <w:tc>
          <w:tcPr>
            <w:tcW w:w="3794" w:type="dxa"/>
            <w:shd w:val="clear" w:color="auto" w:fill="auto"/>
          </w:tcPr>
          <w:p w:rsidR="00780AF9" w:rsidRPr="00AC0BBC" w:rsidRDefault="00780AF9" w:rsidP="00AC0BBC">
            <w:pPr>
              <w:numPr>
                <w:ilvl w:val="0"/>
                <w:numId w:val="10"/>
              </w:numPr>
              <w:spacing w:after="0" w:line="240" w:lineRule="auto"/>
              <w:ind w:left="0" w:firstLine="0"/>
              <w:contextualSpacing/>
              <w:rPr>
                <w:rFonts w:ascii="Times New Roman" w:hAnsi="Times New Roman"/>
                <w:i/>
                <w:sz w:val="24"/>
                <w:szCs w:val="24"/>
              </w:rPr>
            </w:pPr>
            <w:r w:rsidRPr="00AC0BBC">
              <w:rPr>
                <w:rFonts w:ascii="Times New Roman" w:hAnsi="Times New Roman"/>
                <w:i/>
                <w:sz w:val="24"/>
                <w:szCs w:val="24"/>
              </w:rPr>
              <w:t>гостиницы, дома приезжих;</w:t>
            </w:r>
          </w:p>
        </w:tc>
        <w:tc>
          <w:tcPr>
            <w:tcW w:w="1843"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6 на 1 тыс. чел.</w:t>
            </w:r>
          </w:p>
        </w:tc>
        <w:tc>
          <w:tcPr>
            <w:tcW w:w="4536" w:type="dxa"/>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При числе мест гостиницы, м2 на 1 место:</w:t>
            </w:r>
          </w:p>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От 25 до 100-55</w:t>
            </w:r>
          </w:p>
        </w:tc>
      </w:tr>
      <w:tr w:rsidR="00780AF9" w:rsidRPr="003F218C" w:rsidTr="00050852">
        <w:trPr>
          <w:trHeight w:val="212"/>
        </w:trPr>
        <w:tc>
          <w:tcPr>
            <w:tcW w:w="3794" w:type="dxa"/>
            <w:shd w:val="clear" w:color="auto" w:fill="auto"/>
          </w:tcPr>
          <w:p w:rsidR="00780AF9" w:rsidRPr="00AC0BBC" w:rsidRDefault="00780AF9" w:rsidP="00AC0BBC">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AC0BBC">
              <w:rPr>
                <w:rFonts w:ascii="Times New Roman" w:hAnsi="Times New Roman" w:cs="Peterburg"/>
                <w:i/>
                <w:color w:val="000000"/>
                <w:sz w:val="24"/>
                <w:szCs w:val="24"/>
              </w:rPr>
              <w:t>жилые дома священнослужителей и обслуживающего персонала;</w:t>
            </w:r>
          </w:p>
        </w:tc>
        <w:tc>
          <w:tcPr>
            <w:tcW w:w="637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780AF9" w:rsidRPr="003F218C" w:rsidTr="00050852">
        <w:trPr>
          <w:trHeight w:val="70"/>
        </w:trPr>
        <w:tc>
          <w:tcPr>
            <w:tcW w:w="3794" w:type="dxa"/>
            <w:shd w:val="clear" w:color="auto" w:fill="auto"/>
          </w:tcPr>
          <w:p w:rsidR="00780AF9" w:rsidRPr="00AC0BBC" w:rsidRDefault="00780AF9" w:rsidP="00AC0BBC">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AC0BBC">
              <w:rPr>
                <w:rFonts w:ascii="Times New Roman" w:hAnsi="Times New Roman" w:cs="Peterburg"/>
                <w:i/>
                <w:color w:val="000000"/>
                <w:sz w:val="24"/>
                <w:szCs w:val="24"/>
              </w:rPr>
              <w:t>киоски, временные павильоны розничной торговли</w:t>
            </w:r>
          </w:p>
        </w:tc>
        <w:tc>
          <w:tcPr>
            <w:tcW w:w="6379" w:type="dxa"/>
            <w:gridSpan w:val="2"/>
            <w:shd w:val="clear" w:color="auto" w:fill="auto"/>
          </w:tcPr>
          <w:p w:rsidR="00780AF9" w:rsidRPr="00AC0BBC" w:rsidRDefault="00780AF9"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bl>
    <w:p w:rsidR="00780AF9" w:rsidRPr="003F218C" w:rsidRDefault="00780AF9" w:rsidP="00780AF9">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050852" w:rsidRPr="00B12AC2">
        <w:rPr>
          <w:rFonts w:ascii="Times New Roman" w:hAnsi="Times New Roman"/>
          <w:i/>
          <w:sz w:val="24"/>
          <w:szCs w:val="24"/>
        </w:rPr>
        <w:t>не подлежат ограничению, определяются в рамках разработки проектной документации</w:t>
      </w:r>
      <w:r w:rsidRPr="003F218C">
        <w:rPr>
          <w:rFonts w:ascii="Times New Roman" w:hAnsi="Times New Roman"/>
          <w:i/>
          <w:sz w:val="24"/>
          <w:szCs w:val="24"/>
        </w:rPr>
        <w:t xml:space="preserve">; </w:t>
      </w:r>
    </w:p>
    <w:p w:rsidR="00780AF9" w:rsidRPr="003F218C" w:rsidRDefault="00780AF9" w:rsidP="00780AF9">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780AF9" w:rsidRPr="003F218C" w:rsidRDefault="00780AF9" w:rsidP="00780AF9">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w:t>
      </w:r>
      <w:proofErr w:type="gramStart"/>
      <w:r w:rsidRPr="00CD0893">
        <w:rPr>
          <w:rFonts w:ascii="Times New Roman" w:hAnsi="Times New Roman"/>
          <w:sz w:val="24"/>
          <w:szCs w:val="24"/>
        </w:rPr>
        <w:t xml:space="preserve">поликлиники, </w:t>
      </w:r>
      <w:r w:rsidR="0001121F">
        <w:rPr>
          <w:rFonts w:ascii="Times New Roman" w:hAnsi="Times New Roman"/>
          <w:sz w:val="24"/>
          <w:szCs w:val="24"/>
        </w:rPr>
        <w:t xml:space="preserve"> научно</w:t>
      </w:r>
      <w:proofErr w:type="gramEnd"/>
      <w:r w:rsidR="0001121F">
        <w:rPr>
          <w:rFonts w:ascii="Times New Roman" w:hAnsi="Times New Roman"/>
          <w:sz w:val="24"/>
          <w:szCs w:val="24"/>
        </w:rPr>
        <w:t xml:space="preserve">-исследовательские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w:t>
      </w:r>
      <w:proofErr w:type="gramStart"/>
      <w:r w:rsidR="0001121F">
        <w:rPr>
          <w:rFonts w:ascii="Times New Roman" w:hAnsi="Times New Roman"/>
          <w:sz w:val="24"/>
          <w:szCs w:val="24"/>
        </w:rPr>
        <w:t xml:space="preserve">исследовательские </w:t>
      </w:r>
      <w:r w:rsidRPr="00CD0893">
        <w:rPr>
          <w:rFonts w:ascii="Times New Roman" w:hAnsi="Times New Roman"/>
          <w:sz w:val="24"/>
          <w:szCs w:val="24"/>
        </w:rPr>
        <w:t xml:space="preserve"> и</w:t>
      </w:r>
      <w:proofErr w:type="gramEnd"/>
      <w:r w:rsidRPr="00CD0893">
        <w:rPr>
          <w:rFonts w:ascii="Times New Roman" w:hAnsi="Times New Roman"/>
          <w:sz w:val="24"/>
          <w:szCs w:val="24"/>
        </w:rPr>
        <w:t xml:space="preserve">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BA4BF6" w:rsidRPr="009A47B2" w:rsidRDefault="00BA4BF6" w:rsidP="00BA4BF6">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BA4BF6">
        <w:rPr>
          <w:rFonts w:ascii="Times New Roman" w:hAnsi="Times New Roman"/>
          <w:sz w:val="24"/>
          <w:szCs w:val="24"/>
        </w:rPr>
        <w:t>П-1(</w:t>
      </w:r>
      <w:r w:rsidRPr="00BA4BF6">
        <w:rPr>
          <w:rFonts w:ascii="Times New Roman" w:hAnsi="Times New Roman"/>
          <w:sz w:val="24"/>
          <w:szCs w:val="24"/>
          <w:lang w:val="en-US"/>
        </w:rPr>
        <w:t>III</w:t>
      </w:r>
      <w:proofErr w:type="gramStart"/>
      <w:r w:rsidRPr="00BA4BF6">
        <w:rPr>
          <w:rFonts w:ascii="Times New Roman" w:hAnsi="Times New Roman"/>
          <w:sz w:val="24"/>
          <w:szCs w:val="24"/>
        </w:rPr>
        <w:t xml:space="preserve">) </w:t>
      </w:r>
      <w:r w:rsidRPr="009A47B2">
        <w:rPr>
          <w:rFonts w:ascii="Times New Roman" w:hAnsi="Times New Roman"/>
          <w:i/>
          <w:sz w:val="24"/>
          <w:szCs w:val="24"/>
        </w:rPr>
        <w:t xml:space="preserve"> включают</w:t>
      </w:r>
      <w:proofErr w:type="gramEnd"/>
      <w:r w:rsidRPr="009A47B2">
        <w:rPr>
          <w:rFonts w:ascii="Times New Roman" w:hAnsi="Times New Roman"/>
          <w:i/>
          <w:sz w:val="24"/>
          <w:szCs w:val="24"/>
        </w:rPr>
        <w:t xml:space="preserve"> в себя:</w:t>
      </w:r>
    </w:p>
    <w:p w:rsidR="00BA4BF6" w:rsidRPr="009A47B2" w:rsidRDefault="00BA4BF6" w:rsidP="00BA4BF6">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A4BF6" w:rsidRPr="009A47B2" w:rsidRDefault="00BA4BF6" w:rsidP="00BA4BF6">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A4BF6" w:rsidRPr="009A47B2" w:rsidRDefault="00BA4BF6" w:rsidP="00BA4BF6">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A4BF6" w:rsidRDefault="00BA4BF6" w:rsidP="00BA4BF6">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w:t>
      </w:r>
      <w:proofErr w:type="gramStart"/>
      <w:r w:rsidRPr="00CD0893">
        <w:rPr>
          <w:rFonts w:ascii="Times New Roman" w:hAnsi="Times New Roman"/>
          <w:sz w:val="24"/>
          <w:szCs w:val="24"/>
        </w:rPr>
        <w:t xml:space="preserve">поликлиники, </w:t>
      </w:r>
      <w:r w:rsidR="0001121F">
        <w:rPr>
          <w:rFonts w:ascii="Times New Roman" w:hAnsi="Times New Roman"/>
          <w:sz w:val="24"/>
          <w:szCs w:val="24"/>
        </w:rPr>
        <w:t xml:space="preserve"> научно</w:t>
      </w:r>
      <w:proofErr w:type="gramEnd"/>
      <w:r w:rsidR="0001121F">
        <w:rPr>
          <w:rFonts w:ascii="Times New Roman" w:hAnsi="Times New Roman"/>
          <w:sz w:val="24"/>
          <w:szCs w:val="24"/>
        </w:rPr>
        <w:t xml:space="preserve">-исследовательские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w:t>
      </w:r>
      <w:proofErr w:type="gramStart"/>
      <w:r w:rsidR="0001121F">
        <w:rPr>
          <w:rFonts w:ascii="Times New Roman" w:hAnsi="Times New Roman"/>
          <w:sz w:val="24"/>
          <w:szCs w:val="24"/>
        </w:rPr>
        <w:t xml:space="preserve">исследовательские </w:t>
      </w:r>
      <w:r w:rsidRPr="00CD0893">
        <w:rPr>
          <w:rFonts w:ascii="Times New Roman" w:hAnsi="Times New Roman"/>
          <w:sz w:val="24"/>
          <w:szCs w:val="24"/>
        </w:rPr>
        <w:t xml:space="preserve"> и</w:t>
      </w:r>
      <w:proofErr w:type="gramEnd"/>
      <w:r w:rsidRPr="00CD0893">
        <w:rPr>
          <w:rFonts w:ascii="Times New Roman" w:hAnsi="Times New Roman"/>
          <w:sz w:val="24"/>
          <w:szCs w:val="24"/>
        </w:rPr>
        <w:t xml:space="preserve">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410D46" w:rsidRPr="00CD0893" w:rsidRDefault="00410D46" w:rsidP="00410D46">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410D46" w:rsidRPr="00CD0893" w:rsidRDefault="00410D46" w:rsidP="00410D46">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w:t>
      </w:r>
      <w:proofErr w:type="gramStart"/>
      <w:r w:rsidRPr="00CD0893">
        <w:rPr>
          <w:rFonts w:ascii="Times New Roman" w:hAnsi="Times New Roman"/>
          <w:bCs/>
          <w:i/>
          <w:sz w:val="24"/>
          <w:szCs w:val="24"/>
        </w:rPr>
        <w:t>В</w:t>
      </w:r>
      <w:proofErr w:type="gramEnd"/>
      <w:r w:rsidRPr="00CD0893">
        <w:rPr>
          <w:rFonts w:ascii="Times New Roman" w:hAnsi="Times New Roman"/>
          <w:bCs/>
          <w:i/>
          <w:sz w:val="24"/>
          <w:szCs w:val="24"/>
        </w:rPr>
        <w:t xml:space="preserve">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10D46" w:rsidRPr="00CD0893" w:rsidRDefault="00410D46" w:rsidP="00410D46">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w:t>
      </w:r>
      <w:proofErr w:type="gramStart"/>
      <w:r w:rsidRPr="00CD0893">
        <w:rPr>
          <w:rFonts w:ascii="Times New Roman" w:hAnsi="Times New Roman"/>
          <w:bCs/>
          <w:i/>
          <w:sz w:val="24"/>
          <w:szCs w:val="24"/>
        </w:rPr>
        <w:t>В</w:t>
      </w:r>
      <w:proofErr w:type="gramEnd"/>
      <w:r w:rsidRPr="00CD0893">
        <w:rPr>
          <w:rFonts w:ascii="Times New Roman" w:hAnsi="Times New Roman"/>
          <w:bCs/>
          <w:i/>
          <w:sz w:val="24"/>
          <w:szCs w:val="24"/>
        </w:rPr>
        <w:t xml:space="preserve">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4854" w:rsidRPr="009A47B2" w:rsidRDefault="00684854" w:rsidP="0068485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684854">
        <w:rPr>
          <w:rFonts w:ascii="Times New Roman" w:hAnsi="Times New Roman"/>
          <w:sz w:val="24"/>
          <w:szCs w:val="24"/>
        </w:rPr>
        <w:t>П-1(</w:t>
      </w:r>
      <w:r w:rsidRPr="00684854">
        <w:rPr>
          <w:rFonts w:ascii="Times New Roman" w:hAnsi="Times New Roman"/>
          <w:sz w:val="24"/>
          <w:szCs w:val="24"/>
          <w:lang w:val="en-US"/>
        </w:rPr>
        <w:t>IV</w:t>
      </w:r>
      <w:r w:rsidRPr="00684854">
        <w:rPr>
          <w:rFonts w:ascii="Times New Roman" w:hAnsi="Times New Roman"/>
          <w:sz w:val="24"/>
          <w:szCs w:val="24"/>
        </w:rPr>
        <w:t>)</w:t>
      </w:r>
      <w:r>
        <w:rPr>
          <w:rFonts w:ascii="Times New Roman" w:hAnsi="Times New Roman"/>
          <w:sz w:val="24"/>
          <w:szCs w:val="24"/>
        </w:rPr>
        <w:t xml:space="preserve"> </w:t>
      </w:r>
      <w:r w:rsidRPr="009A47B2">
        <w:rPr>
          <w:rFonts w:ascii="Times New Roman" w:hAnsi="Times New Roman"/>
          <w:i/>
          <w:sz w:val="24"/>
          <w:szCs w:val="24"/>
        </w:rPr>
        <w:t>включают в себя:</w:t>
      </w:r>
    </w:p>
    <w:p w:rsidR="00684854" w:rsidRPr="009A47B2" w:rsidRDefault="00684854" w:rsidP="0068485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84854" w:rsidRPr="009A47B2" w:rsidRDefault="00684854" w:rsidP="0068485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684854" w:rsidRPr="009A47B2" w:rsidRDefault="00684854" w:rsidP="00684854">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684854" w:rsidRPr="00CD0893" w:rsidRDefault="00684854" w:rsidP="00684854">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D95F2B" w:rsidRDefault="00D95F2B" w:rsidP="00D95F2B">
      <w:pPr>
        <w:pStyle w:val="a4"/>
        <w:spacing w:after="0" w:line="240" w:lineRule="auto"/>
        <w:jc w:val="both"/>
        <w:rPr>
          <w:rFonts w:ascii="Times New Roman" w:hAnsi="Times New Roman"/>
          <w:sz w:val="24"/>
          <w:szCs w:val="24"/>
        </w:rPr>
      </w:pPr>
    </w:p>
    <w:p w:rsidR="00D95F2B" w:rsidRPr="004B5CFF" w:rsidRDefault="00D95F2B" w:rsidP="00D95F2B">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D95F2B" w:rsidRPr="00CD0893" w:rsidRDefault="00D95F2B" w:rsidP="00D95F2B">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D95F2B" w:rsidRDefault="00D95F2B" w:rsidP="00D95F2B">
      <w:pPr>
        <w:pStyle w:val="a4"/>
        <w:spacing w:after="0" w:line="240" w:lineRule="auto"/>
        <w:ind w:left="0" w:firstLine="851"/>
        <w:jc w:val="both"/>
        <w:rPr>
          <w:rFonts w:ascii="Times New Roman" w:hAnsi="Times New Roman"/>
          <w:i/>
          <w:sz w:val="24"/>
          <w:szCs w:val="24"/>
        </w:rPr>
      </w:pPr>
    </w:p>
    <w:p w:rsidR="00D95F2B" w:rsidRPr="009A47B2" w:rsidRDefault="00D95F2B" w:rsidP="00D95F2B">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w:t>
      </w:r>
      <w:r w:rsidRPr="009A47B2">
        <w:rPr>
          <w:rFonts w:ascii="Times New Roman" w:hAnsi="Times New Roman"/>
          <w:i/>
          <w:sz w:val="24"/>
          <w:szCs w:val="24"/>
        </w:rPr>
        <w:t xml:space="preserve"> включают в себя:</w:t>
      </w:r>
    </w:p>
    <w:p w:rsidR="00D95F2B" w:rsidRPr="009A47B2" w:rsidRDefault="00D95F2B" w:rsidP="00D95F2B">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5F2B" w:rsidRPr="009A47B2" w:rsidRDefault="00D95F2B" w:rsidP="00D95F2B">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5F2B" w:rsidRPr="009A47B2" w:rsidRDefault="00D95F2B" w:rsidP="00D95F2B">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5F2B" w:rsidRPr="009A47B2" w:rsidRDefault="00D95F2B" w:rsidP="00D95F2B">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5F2B" w:rsidRPr="00CD0893" w:rsidRDefault="00D95F2B" w:rsidP="00D95F2B">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D95F2B" w:rsidRPr="00CD0893" w:rsidRDefault="00D95F2B" w:rsidP="00D95F2B">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w:t>
      </w:r>
      <w:proofErr w:type="gramStart"/>
      <w:r w:rsidRPr="00CD0893">
        <w:rPr>
          <w:rFonts w:ascii="Times New Roman" w:hAnsi="Times New Roman"/>
          <w:bCs/>
          <w:i/>
          <w:sz w:val="24"/>
          <w:szCs w:val="24"/>
        </w:rPr>
        <w:t>В</w:t>
      </w:r>
      <w:proofErr w:type="gramEnd"/>
      <w:r w:rsidRPr="00CD0893">
        <w:rPr>
          <w:rFonts w:ascii="Times New Roman" w:hAnsi="Times New Roman"/>
          <w:bCs/>
          <w:i/>
          <w:sz w:val="24"/>
          <w:szCs w:val="24"/>
        </w:rPr>
        <w:t xml:space="preserve">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5F2B" w:rsidRDefault="00D95F2B" w:rsidP="00D95F2B">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w:t>
      </w:r>
      <w:proofErr w:type="gramStart"/>
      <w:r w:rsidRPr="00CD0893">
        <w:rPr>
          <w:rFonts w:ascii="Times New Roman" w:hAnsi="Times New Roman"/>
          <w:bCs/>
          <w:i/>
          <w:sz w:val="24"/>
          <w:szCs w:val="24"/>
        </w:rPr>
        <w:t>В</w:t>
      </w:r>
      <w:proofErr w:type="gramEnd"/>
      <w:r w:rsidRPr="00CD0893">
        <w:rPr>
          <w:rFonts w:ascii="Times New Roman" w:hAnsi="Times New Roman"/>
          <w:bCs/>
          <w:i/>
          <w:sz w:val="24"/>
          <w:szCs w:val="24"/>
        </w:rPr>
        <w:t xml:space="preserve">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95F2B" w:rsidRPr="00CD0893" w:rsidRDefault="00D95F2B" w:rsidP="00D95F2B">
      <w:pPr>
        <w:pStyle w:val="a4"/>
        <w:spacing w:after="0" w:line="240" w:lineRule="auto"/>
        <w:jc w:val="both"/>
        <w:rPr>
          <w:rFonts w:ascii="Times New Roman" w:hAnsi="Times New Roman"/>
          <w:sz w:val="24"/>
          <w:szCs w:val="24"/>
        </w:rPr>
      </w:pP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proofErr w:type="gramStart"/>
      <w:r w:rsidRPr="00CD0893">
        <w:rPr>
          <w:rFonts w:ascii="Times New Roman" w:hAnsi="Times New Roman"/>
          <w:sz w:val="24"/>
          <w:szCs w:val="24"/>
        </w:rPr>
        <w:t>аптечные  киоски</w:t>
      </w:r>
      <w:proofErr w:type="gramEnd"/>
      <w:r w:rsidRPr="00CD0893">
        <w:rPr>
          <w:rFonts w:ascii="Times New Roman" w:hAnsi="Times New Roman"/>
          <w:sz w:val="24"/>
          <w:szCs w:val="24"/>
        </w:rPr>
        <w:t>,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3C07D7" w:rsidRPr="009A47B2" w:rsidRDefault="003C07D7" w:rsidP="003C07D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3C07D7" w:rsidRDefault="003C07D7" w:rsidP="003C07D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3C07D7" w:rsidRPr="009A47B2" w:rsidRDefault="003C07D7" w:rsidP="003C07D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3C07D7" w:rsidRPr="009A47B2" w:rsidRDefault="003C07D7" w:rsidP="003C07D7">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3C07D7" w:rsidRDefault="003C07D7" w:rsidP="003C07D7">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226FC4">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w:t>
      </w:r>
      <w:proofErr w:type="gramStart"/>
      <w:r w:rsidRPr="006F2B89">
        <w:rPr>
          <w:rFonts w:ascii="Times New Roman" w:hAnsi="Times New Roman"/>
          <w:i/>
          <w:sz w:val="24"/>
          <w:szCs w:val="24"/>
        </w:rPr>
        <w:t>насаждений  (</w:t>
      </w:r>
      <w:proofErr w:type="gramEnd"/>
      <w:r w:rsidRPr="006F2B89">
        <w:rPr>
          <w:rFonts w:ascii="Times New Roman" w:hAnsi="Times New Roman"/>
          <w:i/>
          <w:sz w:val="24"/>
          <w:szCs w:val="24"/>
        </w:rPr>
        <w:t>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226FC4">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lastRenderedPageBreak/>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xml:space="preserve">–    облесённые территории </w:t>
      </w:r>
      <w:proofErr w:type="gramStart"/>
      <w:r>
        <w:rPr>
          <w:rFonts w:ascii="Times New Roman" w:hAnsi="Times New Roman"/>
          <w:sz w:val="24"/>
          <w:szCs w:val="24"/>
        </w:rPr>
        <w:t>в  поймах</w:t>
      </w:r>
      <w:proofErr w:type="gramEnd"/>
      <w:r>
        <w:rPr>
          <w:rFonts w:ascii="Times New Roman" w:hAnsi="Times New Roman"/>
          <w:sz w:val="24"/>
          <w:szCs w:val="24"/>
        </w:rPr>
        <w:t xml:space="preserve">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3E41DD" w:rsidRPr="009A47B2" w:rsidRDefault="003E41DD" w:rsidP="003E41DD">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3E41DD" w:rsidRDefault="003E41DD" w:rsidP="003E41DD">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3E41DD" w:rsidRPr="009A47B2" w:rsidRDefault="003E41DD" w:rsidP="003E41DD">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3E41DD" w:rsidRPr="009A47B2" w:rsidRDefault="003E41DD" w:rsidP="003E41DD">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3E41DD" w:rsidRDefault="003E41DD" w:rsidP="003E41DD">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proofErr w:type="gramStart"/>
      <w:r w:rsidR="00D27213" w:rsidRPr="00CB7F5E">
        <w:rPr>
          <w:rFonts w:ascii="Times New Roman" w:hAnsi="Times New Roman"/>
          <w:b/>
          <w:iCs/>
          <w:sz w:val="24"/>
          <w:szCs w:val="24"/>
        </w:rPr>
        <w:t>Градостроительные  регламенты</w:t>
      </w:r>
      <w:proofErr w:type="gramEnd"/>
      <w:r w:rsidR="00D27213" w:rsidRPr="00CB7F5E">
        <w:rPr>
          <w:rFonts w:ascii="Times New Roman" w:hAnsi="Times New Roman"/>
          <w:b/>
          <w:iCs/>
          <w:sz w:val="24"/>
          <w:szCs w:val="24"/>
        </w:rPr>
        <w:t>.</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8B0F08"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lastRenderedPageBreak/>
        <w:t>И</w:t>
      </w:r>
      <w:r w:rsidRPr="00D66247">
        <w:rPr>
          <w:rFonts w:ascii="Times New Roman" w:hAnsi="Times New Roman"/>
          <w:b/>
          <w:bCs/>
          <w:iCs/>
          <w:sz w:val="24"/>
          <w:szCs w:val="24"/>
          <w:u w:val="single"/>
        </w:rPr>
        <w:t xml:space="preserve">-1.  Зона </w:t>
      </w:r>
      <w:proofErr w:type="gramStart"/>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roofErr w:type="gramEnd"/>
      <w:r w:rsidRPr="00D66247">
        <w:rPr>
          <w:rFonts w:ascii="Times New Roman" w:hAnsi="Times New Roman"/>
          <w:b/>
          <w:bCs/>
          <w:iCs/>
          <w:sz w:val="24"/>
          <w:szCs w:val="24"/>
          <w:u w:val="single"/>
        </w:rPr>
        <w:t>.</w:t>
      </w:r>
    </w:p>
    <w:p w:rsidR="008B0F08" w:rsidRDefault="008B0F08" w:rsidP="008B0F08">
      <w:pPr>
        <w:spacing w:after="0" w:line="240" w:lineRule="auto"/>
        <w:ind w:firstLine="851"/>
        <w:jc w:val="both"/>
        <w:rPr>
          <w:rFonts w:ascii="Times New Roman" w:hAnsi="Times New Roman"/>
          <w:b/>
          <w:bCs/>
          <w:iCs/>
          <w:sz w:val="24"/>
          <w:szCs w:val="24"/>
          <w:u w:val="single"/>
        </w:rPr>
      </w:pPr>
    </w:p>
    <w:p w:rsidR="00226FC4" w:rsidRPr="00CD0893" w:rsidRDefault="00226FC4" w:rsidP="00226FC4">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 xml:space="preserve">ной инфраструктуры на среду жизнедеятельности, </w:t>
      </w:r>
      <w:proofErr w:type="gramStart"/>
      <w:r w:rsidRPr="00CD0893">
        <w:rPr>
          <w:rFonts w:ascii="Times New Roman" w:hAnsi="Times New Roman"/>
          <w:i/>
          <w:sz w:val="24"/>
          <w:szCs w:val="24"/>
        </w:rPr>
        <w:t>обеспечивается  соблюдение</w:t>
      </w:r>
      <w:proofErr w:type="gramEnd"/>
      <w:r w:rsidRPr="00CD0893">
        <w:rPr>
          <w:rFonts w:ascii="Times New Roman" w:hAnsi="Times New Roman"/>
          <w:i/>
          <w:sz w:val="24"/>
          <w:szCs w:val="24"/>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26FC4" w:rsidRPr="001D3BB2" w:rsidRDefault="00226FC4" w:rsidP="00226FC4">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226FC4" w:rsidRPr="001D3BB2" w:rsidRDefault="00226FC4" w:rsidP="00226FC4">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w:t>
      </w:r>
      <w:proofErr w:type="gramStart"/>
      <w:r w:rsidRPr="00B37F2D">
        <w:rPr>
          <w:rFonts w:ascii="Times New Roman" w:hAnsi="Times New Roman"/>
          <w:iCs/>
          <w:sz w:val="24"/>
          <w:szCs w:val="24"/>
        </w:rPr>
        <w:t>исследовательские  лаборатории</w:t>
      </w:r>
      <w:proofErr w:type="gramEnd"/>
      <w:r w:rsidRPr="00B37F2D">
        <w:rPr>
          <w:rFonts w:ascii="Times New Roman" w:hAnsi="Times New Roman"/>
          <w:iCs/>
          <w:sz w:val="24"/>
          <w:szCs w:val="24"/>
        </w:rPr>
        <w:t>, конструкторские бюро;</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226FC4"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624A10" w:rsidRDefault="00624A10" w:rsidP="00624A10">
      <w:pPr>
        <w:pStyle w:val="a4"/>
        <w:spacing w:after="0" w:line="240" w:lineRule="auto"/>
        <w:contextualSpacing w:val="0"/>
        <w:jc w:val="both"/>
        <w:rPr>
          <w:rFonts w:ascii="Times New Roman" w:hAnsi="Times New Roman"/>
          <w:iCs/>
          <w:sz w:val="24"/>
          <w:szCs w:val="24"/>
        </w:rPr>
      </w:pPr>
    </w:p>
    <w:p w:rsidR="00624A10" w:rsidRPr="00E857A0" w:rsidRDefault="00624A10" w:rsidP="00624A10">
      <w:pPr>
        <w:spacing w:before="120" w:after="120" w:line="240" w:lineRule="auto"/>
        <w:ind w:firstLine="709"/>
        <w:jc w:val="both"/>
        <w:rPr>
          <w:rFonts w:ascii="Times New Roman" w:hAnsi="Times New Roman"/>
          <w:b/>
          <w:i/>
          <w:iCs/>
          <w:sz w:val="24"/>
          <w:szCs w:val="24"/>
          <w:u w:val="single"/>
        </w:rPr>
      </w:pPr>
      <w:r w:rsidRPr="00CD0893">
        <w:rPr>
          <w:rFonts w:ascii="Times New Roman" w:hAnsi="Times New Roman"/>
          <w:b/>
          <w:bCs/>
          <w:i/>
          <w:sz w:val="24"/>
          <w:szCs w:val="24"/>
          <w:u w:val="single"/>
        </w:rPr>
        <w:t>Условно разрешенные виды использования</w:t>
      </w:r>
      <w:r w:rsidRPr="00E857A0">
        <w:rPr>
          <w:rFonts w:ascii="Times New Roman" w:hAnsi="Times New Roman"/>
          <w:b/>
          <w:i/>
          <w:iCs/>
          <w:sz w:val="24"/>
          <w:szCs w:val="24"/>
          <w:u w:val="single"/>
        </w:rPr>
        <w:t>:</w:t>
      </w:r>
    </w:p>
    <w:p w:rsidR="00624A10" w:rsidRDefault="00624A10" w:rsidP="00624A10">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624A10" w:rsidRDefault="00624A10" w:rsidP="00624A10">
      <w:pPr>
        <w:pStyle w:val="a4"/>
        <w:spacing w:after="0" w:line="240" w:lineRule="auto"/>
        <w:ind w:left="709"/>
        <w:contextualSpacing w:val="0"/>
        <w:jc w:val="both"/>
        <w:rPr>
          <w:rFonts w:ascii="Times New Roman" w:hAnsi="Times New Roman"/>
          <w:iCs/>
          <w:sz w:val="24"/>
          <w:szCs w:val="24"/>
        </w:rPr>
      </w:pPr>
      <w:r>
        <w:rPr>
          <w:szCs w:val="24"/>
        </w:rPr>
        <w:t xml:space="preserve">- </w:t>
      </w:r>
      <w:r w:rsidRPr="00107795">
        <w:rPr>
          <w:rFonts w:ascii="Times New Roman" w:hAnsi="Times New Roman"/>
          <w:sz w:val="24"/>
          <w:szCs w:val="24"/>
        </w:rPr>
        <w:t>землеройные и другие работы.</w:t>
      </w:r>
    </w:p>
    <w:p w:rsidR="00624A10" w:rsidRDefault="00624A10" w:rsidP="00624A10">
      <w:pPr>
        <w:pStyle w:val="a4"/>
        <w:spacing w:after="0" w:line="240" w:lineRule="auto"/>
        <w:ind w:left="0" w:firstLine="851"/>
        <w:jc w:val="both"/>
        <w:rPr>
          <w:rFonts w:ascii="Times New Roman" w:hAnsi="Times New Roman"/>
          <w:i/>
          <w:sz w:val="24"/>
          <w:szCs w:val="24"/>
        </w:rPr>
      </w:pPr>
    </w:p>
    <w:p w:rsidR="00624A10" w:rsidRPr="00517BC2" w:rsidRDefault="00624A10" w:rsidP="00624A10">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И-1</w:t>
      </w:r>
      <w:r w:rsidRPr="00517BC2">
        <w:rPr>
          <w:rFonts w:ascii="Times New Roman" w:hAnsi="Times New Roman"/>
          <w:i/>
          <w:sz w:val="24"/>
          <w:szCs w:val="24"/>
        </w:rPr>
        <w:t xml:space="preserve"> включают в себя:</w:t>
      </w:r>
    </w:p>
    <w:p w:rsidR="00624A10" w:rsidRPr="00517BC2" w:rsidRDefault="00624A10" w:rsidP="00624A10">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624A10" w:rsidRPr="00517BC2" w:rsidRDefault="00624A10" w:rsidP="00624A10">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624A10" w:rsidRPr="00517BC2" w:rsidRDefault="00624A10" w:rsidP="00624A10">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624A10" w:rsidRPr="00517BC2" w:rsidRDefault="00624A10" w:rsidP="00624A10">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B291B" w:rsidRDefault="009B291B"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 xml:space="preserve">размещения спортивных сооружений </w:t>
      </w:r>
      <w:r w:rsidR="00EE5596" w:rsidRPr="00CD0893">
        <w:rPr>
          <w:rFonts w:ascii="Times New Roman" w:hAnsi="Times New Roman"/>
          <w:sz w:val="24"/>
          <w:szCs w:val="24"/>
        </w:rPr>
        <w:lastRenderedPageBreak/>
        <w:t>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 xml:space="preserve">размещения объектов отдыха местного </w:t>
      </w:r>
      <w:proofErr w:type="gramStart"/>
      <w:r w:rsidR="00EE5596" w:rsidRPr="00CD0893">
        <w:rPr>
          <w:rFonts w:ascii="Times New Roman" w:hAnsi="Times New Roman"/>
          <w:sz w:val="24"/>
          <w:szCs w:val="24"/>
        </w:rPr>
        <w:t>населения  и</w:t>
      </w:r>
      <w:proofErr w:type="gramEnd"/>
      <w:r w:rsidR="00EE5596" w:rsidRPr="00CD0893">
        <w:rPr>
          <w:rFonts w:ascii="Times New Roman" w:hAnsi="Times New Roman"/>
          <w:sz w:val="24"/>
          <w:szCs w:val="24"/>
        </w:rPr>
        <w:t xml:space="preserve">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226FC4" w:rsidRPr="00CD0893" w:rsidRDefault="00226FC4" w:rsidP="00226FC4">
      <w:pPr>
        <w:pStyle w:val="a4"/>
        <w:spacing w:after="0" w:line="240" w:lineRule="auto"/>
        <w:ind w:left="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073B14" w:rsidRPr="009A47B2" w:rsidRDefault="00073B14" w:rsidP="00073B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073B14" w:rsidRDefault="00073B14" w:rsidP="00073B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073B14" w:rsidRPr="00517BC2" w:rsidRDefault="00073B14" w:rsidP="00073B1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073B14" w:rsidRPr="00517BC2" w:rsidRDefault="00073B14" w:rsidP="00073B1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073B14" w:rsidRPr="00517BC2" w:rsidRDefault="00073B14" w:rsidP="00073B1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073B14" w:rsidRPr="00517BC2" w:rsidRDefault="00073B14" w:rsidP="00073B1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073B14" w:rsidRDefault="00073B14" w:rsidP="00073B1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073B14" w:rsidRDefault="00073B14" w:rsidP="00073B14">
      <w:pPr>
        <w:pStyle w:val="a4"/>
        <w:spacing w:after="0" w:line="240" w:lineRule="auto"/>
        <w:ind w:left="0" w:firstLine="851"/>
        <w:jc w:val="both"/>
        <w:rPr>
          <w:rFonts w:ascii="Times New Roman" w:hAnsi="Times New Roman"/>
          <w:i/>
          <w:sz w:val="24"/>
          <w:szCs w:val="24"/>
        </w:rPr>
      </w:pPr>
    </w:p>
    <w:p w:rsidR="00073B14" w:rsidRPr="009A47B2" w:rsidRDefault="00073B14" w:rsidP="00073B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73B14" w:rsidRPr="009A47B2" w:rsidRDefault="00073B14" w:rsidP="00073B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73B14" w:rsidRPr="009A47B2" w:rsidRDefault="00073B14" w:rsidP="00073B1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073B14" w:rsidRDefault="0067152C" w:rsidP="0067152C">
      <w:pPr>
        <w:spacing w:after="0" w:line="240" w:lineRule="auto"/>
        <w:ind w:firstLine="709"/>
        <w:jc w:val="both"/>
        <w:rPr>
          <w:rFonts w:ascii="Times New Roman" w:hAnsi="Times New Roman"/>
          <w:b/>
          <w:i/>
          <w:sz w:val="24"/>
          <w:szCs w:val="24"/>
        </w:rPr>
      </w:pPr>
      <w:r w:rsidRPr="00073B14">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 xml:space="preserve">СО-1.   </w:t>
      </w:r>
      <w:r w:rsidR="0046547E" w:rsidRPr="00E74AD6">
        <w:rPr>
          <w:rFonts w:ascii="Times New Roman" w:hAnsi="Times New Roman"/>
          <w:b/>
          <w:bCs/>
          <w:sz w:val="24"/>
          <w:szCs w:val="24"/>
          <w:u w:val="single"/>
        </w:rPr>
        <w:t>Зона скотомогильников, участков компостирования ТБО</w:t>
      </w:r>
      <w:r w:rsidRPr="009B291B">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073B14" w:rsidRPr="00CD0893" w:rsidRDefault="00073B14" w:rsidP="00073B14">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073B14" w:rsidRPr="00327D56" w:rsidRDefault="00073B14" w:rsidP="00073B1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073B14" w:rsidRPr="00327D56" w:rsidRDefault="00073B14" w:rsidP="00073B1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073B14" w:rsidRDefault="00073B14" w:rsidP="00073B1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073B14" w:rsidRDefault="00073B14" w:rsidP="00073B14">
      <w:pPr>
        <w:shd w:val="clear" w:color="auto" w:fill="FFFFFF"/>
        <w:spacing w:after="0" w:line="240" w:lineRule="auto"/>
        <w:ind w:firstLine="851"/>
        <w:jc w:val="both"/>
        <w:rPr>
          <w:rFonts w:ascii="Times New Roman" w:hAnsi="Times New Roman"/>
          <w:b/>
          <w:bCs/>
          <w:sz w:val="24"/>
          <w:szCs w:val="24"/>
        </w:rPr>
      </w:pP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073B14"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73B14" w:rsidRDefault="00073B14" w:rsidP="00073B14">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lastRenderedPageBreak/>
        <w:t>СО – 2</w:t>
      </w:r>
      <w:r w:rsidRPr="00A43176">
        <w:rPr>
          <w:rFonts w:ascii="Times New Roman" w:hAnsi="Times New Roman"/>
          <w:b/>
          <w:bCs/>
          <w:color w:val="000000"/>
          <w:sz w:val="24"/>
          <w:szCs w:val="24"/>
        </w:rPr>
        <w:t>. Зона водозаборных</w:t>
      </w:r>
      <w:r w:rsidR="0046547E">
        <w:rPr>
          <w:rFonts w:ascii="Times New Roman" w:hAnsi="Times New Roman"/>
          <w:b/>
          <w:bCs/>
          <w:color w:val="000000"/>
          <w:sz w:val="24"/>
          <w:szCs w:val="24"/>
        </w:rPr>
        <w:t xml:space="preserve"> и</w:t>
      </w:r>
      <w:r w:rsidRPr="00A43176">
        <w:rPr>
          <w:rFonts w:ascii="Times New Roman" w:hAnsi="Times New Roman"/>
          <w:b/>
          <w:bCs/>
          <w:color w:val="000000"/>
          <w:sz w:val="24"/>
          <w:szCs w:val="24"/>
        </w:rPr>
        <w:t xml:space="preserve">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226FC4" w:rsidRPr="00A43176" w:rsidRDefault="00226FC4" w:rsidP="00EA648B">
      <w:pPr>
        <w:pStyle w:val="nienie"/>
        <w:numPr>
          <w:ilvl w:val="0"/>
          <w:numId w:val="57"/>
        </w:numPr>
        <w:ind w:left="0" w:firstLine="709"/>
        <w:rPr>
          <w:rFonts w:ascii="Times New Roman" w:hAnsi="Times New Roman" w:cs="Times New Roman"/>
        </w:rPr>
      </w:pPr>
      <w:r w:rsidRPr="00E74AD6">
        <w:rPr>
          <w:rFonts w:ascii="Times New Roman" w:hAnsi="Times New Roman" w:cs="Times New Roman"/>
          <w:szCs w:val="28"/>
        </w:rPr>
        <w:t>водонакопительные, водонапорные сооружения</w:t>
      </w:r>
      <w:r>
        <w:rPr>
          <w:rFonts w:ascii="Times New Roman" w:hAnsi="Times New Roman" w:cs="Times New Roman"/>
          <w:szCs w:val="28"/>
        </w:rPr>
        <w:t>;</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r w:rsidR="00226FC4">
        <w:rPr>
          <w:rFonts w:ascii="Times New Roman" w:hAnsi="Times New Roman" w:cs="Times New Roman"/>
        </w:rPr>
        <w:t>.</w:t>
      </w:r>
    </w:p>
    <w:p w:rsidR="00BC2C81" w:rsidRDefault="00BC2C81" w:rsidP="00BC2C81">
      <w:pPr>
        <w:pStyle w:val="nienie"/>
        <w:ind w:firstLine="0"/>
        <w:rPr>
          <w:rFonts w:ascii="Times New Roman" w:hAnsi="Times New Roman" w:cs="Times New Roman"/>
        </w:rPr>
      </w:pPr>
    </w:p>
    <w:p w:rsidR="00226FC4" w:rsidRDefault="00226FC4"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proofErr w:type="gramStart"/>
      <w:r w:rsidRPr="002733D5">
        <w:rPr>
          <w:rFonts w:ascii="Times New Roman" w:eastAsia="Calibri" w:hAnsi="Times New Roman"/>
          <w:sz w:val="24"/>
          <w:szCs w:val="28"/>
        </w:rPr>
        <w:t>хозяйственные постройки</w:t>
      </w:r>
      <w:proofErr w:type="gramEnd"/>
      <w:r w:rsidRPr="002733D5">
        <w:rPr>
          <w:rFonts w:ascii="Times New Roman" w:eastAsia="Calibri" w:hAnsi="Times New Roman"/>
          <w:sz w:val="24"/>
          <w:szCs w:val="28"/>
        </w:rPr>
        <w:t xml:space="preserve">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073B14"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073B14" w:rsidRDefault="00073B14" w:rsidP="00073B14">
      <w:pPr>
        <w:pStyle w:val="af2"/>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073B14" w:rsidRPr="00DA4433" w:rsidRDefault="00073B14" w:rsidP="00073B14">
      <w:pPr>
        <w:pStyle w:val="af2"/>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073B14" w:rsidRPr="00DA4433"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073B14" w:rsidRDefault="00073B14" w:rsidP="00073B1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073B14" w:rsidRDefault="00073B14" w:rsidP="00073B14">
      <w:pPr>
        <w:pStyle w:val="a4"/>
        <w:spacing w:after="0" w:line="240" w:lineRule="auto"/>
        <w:ind w:left="0" w:firstLine="851"/>
        <w:jc w:val="both"/>
        <w:rPr>
          <w:rFonts w:ascii="Times New Roman" w:hAnsi="Times New Roman"/>
          <w:i/>
          <w:sz w:val="24"/>
          <w:szCs w:val="24"/>
        </w:rPr>
      </w:pP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73B14" w:rsidRPr="00517BC2" w:rsidRDefault="00073B14" w:rsidP="00073B1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73B14" w:rsidRDefault="00073B14" w:rsidP="00073B14">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73B14" w:rsidRDefault="00073B14" w:rsidP="00073B14">
      <w:pPr>
        <w:widowControl w:val="0"/>
        <w:spacing w:after="0" w:line="240" w:lineRule="auto"/>
        <w:ind w:firstLine="709"/>
        <w:jc w:val="both"/>
        <w:rPr>
          <w:rFonts w:ascii="Times New Roman" w:hAnsi="Times New Roman"/>
          <w:i/>
          <w:sz w:val="24"/>
          <w:szCs w:val="24"/>
        </w:rPr>
      </w:pPr>
    </w:p>
    <w:p w:rsidR="00EE6891" w:rsidRDefault="00EE6891" w:rsidP="00073B14">
      <w:pPr>
        <w:widowControl w:val="0"/>
        <w:spacing w:after="0" w:line="240" w:lineRule="auto"/>
        <w:ind w:firstLine="709"/>
        <w:jc w:val="both"/>
        <w:rPr>
          <w:rFonts w:ascii="Times New Roman" w:hAnsi="Times New Roman"/>
          <w:i/>
          <w:sz w:val="24"/>
          <w:szCs w:val="24"/>
        </w:rPr>
      </w:pPr>
    </w:p>
    <w:p w:rsidR="0046547E"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0046547E" w:rsidRPr="00E74AD6">
        <w:rPr>
          <w:rFonts w:ascii="Times New Roman" w:hAnsi="Times New Roman"/>
          <w:b/>
          <w:bCs/>
          <w:sz w:val="24"/>
          <w:szCs w:val="24"/>
          <w:u w:val="single"/>
        </w:rPr>
        <w:t>Зона специального назначения, связанная с захоронениями.</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 xml:space="preserve">Зона предназначена для размещения кладбищ, колумбариев. Порядок использования территории </w:t>
      </w:r>
      <w:proofErr w:type="gramStart"/>
      <w:r w:rsidRPr="00C672D7">
        <w:rPr>
          <w:rFonts w:ascii="Times New Roman" w:hAnsi="Times New Roman"/>
          <w:i/>
          <w:sz w:val="24"/>
          <w:szCs w:val="24"/>
        </w:rPr>
        <w:t>определяется  с</w:t>
      </w:r>
      <w:proofErr w:type="gramEnd"/>
      <w:r w:rsidRPr="00C672D7">
        <w:rPr>
          <w:rFonts w:ascii="Times New Roman" w:hAnsi="Times New Roman"/>
          <w:i/>
          <w:sz w:val="24"/>
          <w:szCs w:val="24"/>
        </w:rPr>
        <w:t xml:space="preserve">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073B14" w:rsidRPr="0041470B" w:rsidRDefault="00073B14" w:rsidP="00073B1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073B14" w:rsidRPr="0041470B" w:rsidRDefault="00073B14" w:rsidP="00073B1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073B14" w:rsidRPr="0041470B" w:rsidTr="00AC0BBC">
        <w:trPr>
          <w:trHeight w:val="532"/>
        </w:trPr>
        <w:tc>
          <w:tcPr>
            <w:tcW w:w="5236" w:type="dxa"/>
            <w:shd w:val="clear" w:color="auto" w:fill="auto"/>
            <w:vAlign w:val="center"/>
          </w:tcPr>
          <w:p w:rsidR="00073B14" w:rsidRPr="00AC0BBC" w:rsidRDefault="00073B14" w:rsidP="00AC0BBC">
            <w:pPr>
              <w:jc w:val="center"/>
              <w:rPr>
                <w:rFonts w:ascii="Times New Roman" w:hAnsi="Times New Roman"/>
                <w:b/>
                <w:i/>
                <w:sz w:val="24"/>
                <w:szCs w:val="24"/>
              </w:rPr>
            </w:pPr>
            <w:r w:rsidRPr="00AC0BBC">
              <w:rPr>
                <w:rFonts w:ascii="Times New Roman" w:hAnsi="Times New Roman"/>
                <w:b/>
                <w:i/>
                <w:sz w:val="24"/>
                <w:szCs w:val="24"/>
              </w:rPr>
              <w:t>Наименование объекта</w:t>
            </w:r>
          </w:p>
        </w:tc>
        <w:tc>
          <w:tcPr>
            <w:tcW w:w="4285" w:type="dxa"/>
            <w:shd w:val="clear" w:color="auto" w:fill="auto"/>
          </w:tcPr>
          <w:p w:rsidR="00073B14" w:rsidRPr="00AC0BBC" w:rsidRDefault="00073B14" w:rsidP="00AC0BBC">
            <w:pPr>
              <w:jc w:val="center"/>
              <w:rPr>
                <w:rFonts w:ascii="Times New Roman" w:hAnsi="Times New Roman"/>
                <w:b/>
                <w:i/>
                <w:sz w:val="24"/>
                <w:szCs w:val="24"/>
              </w:rPr>
            </w:pPr>
            <w:r w:rsidRPr="00AC0BBC">
              <w:rPr>
                <w:rFonts w:ascii="Times New Roman" w:hAnsi="Times New Roman"/>
                <w:b/>
                <w:i/>
                <w:sz w:val="24"/>
                <w:szCs w:val="24"/>
              </w:rPr>
              <w:t>Размеры земельных участков</w:t>
            </w:r>
          </w:p>
        </w:tc>
      </w:tr>
      <w:tr w:rsidR="00073B14" w:rsidRPr="0041470B" w:rsidTr="00AC0BBC">
        <w:trPr>
          <w:trHeight w:val="670"/>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lastRenderedPageBreak/>
              <w:t>- объекты обслуживания, связанные с целевым назначением зоны;</w:t>
            </w:r>
          </w:p>
        </w:tc>
        <w:tc>
          <w:tcPr>
            <w:tcW w:w="4285" w:type="dxa"/>
            <w:shd w:val="clear" w:color="auto" w:fill="auto"/>
          </w:tcPr>
          <w:p w:rsidR="00073B14" w:rsidRPr="00AC0BBC" w:rsidRDefault="00073B14" w:rsidP="00AC0BBC">
            <w:pPr>
              <w:jc w:val="both"/>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073B14" w:rsidRPr="0041470B" w:rsidTr="00AC0BBC">
        <w:trPr>
          <w:trHeight w:val="419"/>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захоронения;</w:t>
            </w:r>
          </w:p>
        </w:tc>
        <w:tc>
          <w:tcPr>
            <w:tcW w:w="4285" w:type="dxa"/>
            <w:shd w:val="clear" w:color="auto" w:fill="auto"/>
          </w:tcPr>
          <w:p w:rsidR="00073B14" w:rsidRPr="00AC0BBC" w:rsidRDefault="00073B14" w:rsidP="00AC0BBC">
            <w:pPr>
              <w:jc w:val="both"/>
              <w:rPr>
                <w:rFonts w:ascii="Times New Roman" w:hAnsi="Times New Roman"/>
                <w:i/>
                <w:sz w:val="24"/>
                <w:szCs w:val="24"/>
              </w:rPr>
            </w:pPr>
            <w:r w:rsidRPr="00AC0BBC">
              <w:rPr>
                <w:rFonts w:ascii="Times New Roman" w:hAnsi="Times New Roman"/>
                <w:i/>
                <w:sz w:val="24"/>
                <w:szCs w:val="24"/>
              </w:rPr>
              <w:t>0,24 га на 1 тыс. чел.</w:t>
            </w:r>
          </w:p>
        </w:tc>
      </w:tr>
      <w:tr w:rsidR="00073B14" w:rsidRPr="0041470B" w:rsidTr="00AC0BBC">
        <w:trPr>
          <w:trHeight w:val="425"/>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колумбарии;</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0,02 га на 1 тыс. чел.</w:t>
            </w:r>
          </w:p>
        </w:tc>
      </w:tr>
      <w:tr w:rsidR="00073B14" w:rsidRPr="0041470B" w:rsidTr="00AC0BBC">
        <w:trPr>
          <w:trHeight w:val="448"/>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мемориальные комплексы;</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073B14" w:rsidRPr="0041470B" w:rsidTr="00AC0BBC">
        <w:trPr>
          <w:trHeight w:val="265"/>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дома траурных обрядов;</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1 объект на 0,5-1 млн. чел.</w:t>
            </w:r>
          </w:p>
        </w:tc>
      </w:tr>
      <w:tr w:rsidR="00073B14" w:rsidRPr="0041470B" w:rsidTr="00AC0BBC">
        <w:trPr>
          <w:trHeight w:val="561"/>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бюро похоронного обслуживания;</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1 объект на 0,5-1 млн. чел.</w:t>
            </w:r>
          </w:p>
        </w:tc>
      </w:tr>
      <w:tr w:rsidR="00073B14" w:rsidRPr="0041470B" w:rsidTr="00AC0BBC">
        <w:trPr>
          <w:trHeight w:val="561"/>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бюро-магазины похоронного обслуживания;</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073B14" w:rsidRPr="0041470B" w:rsidTr="00AC0BBC">
        <w:trPr>
          <w:trHeight w:val="279"/>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крематории (для действующих кладбищ);</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r w:rsidR="00073B14" w:rsidRPr="0041470B" w:rsidTr="00AC0BBC">
        <w:trPr>
          <w:trHeight w:val="546"/>
        </w:trPr>
        <w:tc>
          <w:tcPr>
            <w:tcW w:w="5236"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 конфессиональные объекты.</w:t>
            </w:r>
          </w:p>
        </w:tc>
        <w:tc>
          <w:tcPr>
            <w:tcW w:w="4285" w:type="dxa"/>
            <w:shd w:val="clear" w:color="auto" w:fill="auto"/>
          </w:tcPr>
          <w:p w:rsidR="00073B14" w:rsidRPr="00AC0BBC" w:rsidRDefault="00073B14" w:rsidP="00AC0BBC">
            <w:pPr>
              <w:rPr>
                <w:rFonts w:ascii="Times New Roman" w:hAnsi="Times New Roman"/>
                <w:i/>
                <w:sz w:val="24"/>
                <w:szCs w:val="24"/>
              </w:rPr>
            </w:pPr>
            <w:r w:rsidRPr="00AC0BBC">
              <w:rPr>
                <w:rFonts w:ascii="Times New Roman" w:hAnsi="Times New Roman"/>
                <w:i/>
                <w:sz w:val="24"/>
                <w:szCs w:val="24"/>
              </w:rPr>
              <w:t>По заданию на проектирование</w:t>
            </w:r>
          </w:p>
        </w:tc>
      </w:tr>
    </w:tbl>
    <w:p w:rsidR="00073B14" w:rsidRPr="0041470B" w:rsidRDefault="00073B14" w:rsidP="00073B14">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073B14" w:rsidRPr="0041470B" w:rsidRDefault="00073B14" w:rsidP="00073B1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073B14" w:rsidRPr="0041470B" w:rsidRDefault="00073B14" w:rsidP="00073B1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B291B" w:rsidRDefault="009B291B" w:rsidP="00F85BEF">
      <w:pPr>
        <w:pStyle w:val="a4"/>
        <w:spacing w:line="240" w:lineRule="auto"/>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lastRenderedPageBreak/>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proofErr w:type="gramStart"/>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proofErr w:type="gramEnd"/>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виды запрещенного использования – </w:t>
      </w:r>
      <w:proofErr w:type="gramStart"/>
      <w:r w:rsidRPr="00CD0893">
        <w:rPr>
          <w:rFonts w:ascii="Times New Roman" w:hAnsi="Times New Roman" w:cs="Times New Roman"/>
          <w:sz w:val="24"/>
          <w:szCs w:val="24"/>
        </w:rPr>
        <w:t>в соответствии с СанПиН</w:t>
      </w:r>
      <w:proofErr w:type="gramEnd"/>
      <w:r w:rsidRPr="00CD0893">
        <w:rPr>
          <w:rFonts w:ascii="Times New Roman" w:hAnsi="Times New Roman" w:cs="Times New Roman"/>
          <w:sz w:val="24"/>
          <w:szCs w:val="24"/>
        </w:rPr>
        <w:t xml:space="preserve">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w:t>
      </w:r>
      <w:proofErr w:type="gramStart"/>
      <w:r w:rsidR="0001121F">
        <w:rPr>
          <w:rFonts w:ascii="Times New Roman" w:hAnsi="Times New Roman"/>
          <w:color w:val="000000"/>
          <w:sz w:val="24"/>
          <w:szCs w:val="24"/>
        </w:rPr>
        <w:t xml:space="preserve">исследовательские </w:t>
      </w:r>
      <w:r w:rsidRPr="00CD0893">
        <w:rPr>
          <w:rFonts w:ascii="Times New Roman" w:hAnsi="Times New Roman"/>
          <w:color w:val="000000"/>
          <w:sz w:val="24"/>
          <w:szCs w:val="24"/>
        </w:rPr>
        <w:t xml:space="preserve"> лаборатории</w:t>
      </w:r>
      <w:proofErr w:type="gramEnd"/>
      <w:r w:rsidRPr="00CD0893">
        <w:rPr>
          <w:rFonts w:ascii="Times New Roman" w:hAnsi="Times New Roman"/>
          <w:color w:val="000000"/>
          <w:sz w:val="24"/>
          <w:szCs w:val="24"/>
        </w:rPr>
        <w:t xml:space="preserve">,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CD0893">
        <w:rPr>
          <w:rFonts w:ascii="Times New Roman" w:hAnsi="Times New Roman"/>
          <w:color w:val="000000"/>
          <w:sz w:val="24"/>
          <w:szCs w:val="24"/>
        </w:rPr>
        <w:t>водозаборные  скважины</w:t>
      </w:r>
      <w:proofErr w:type="gramEnd"/>
      <w:r w:rsidRPr="00CD0893">
        <w:rPr>
          <w:rFonts w:ascii="Times New Roman" w:hAnsi="Times New Roman"/>
          <w:color w:val="000000"/>
          <w:sz w:val="24"/>
          <w:szCs w:val="24"/>
        </w:rPr>
        <w:t xml:space="preserve">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lastRenderedPageBreak/>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w:t>
      </w:r>
      <w:proofErr w:type="gramEnd"/>
      <w:r w:rsidRPr="00FF5AA3">
        <w:rPr>
          <w:rFonts w:ascii="Times New Roman" w:hAnsi="Times New Roman" w:cs="Times New Roman"/>
          <w:sz w:val="24"/>
          <w:szCs w:val="24"/>
        </w:rPr>
        <w:t xml:space="preserve">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w:t>
      </w:r>
      <w:proofErr w:type="gramStart"/>
      <w:r w:rsidRPr="00FF5AA3">
        <w:rPr>
          <w:rFonts w:ascii="Times New Roman" w:hAnsi="Times New Roman" w:cs="Times New Roman"/>
          <w:sz w:val="24"/>
          <w:szCs w:val="24"/>
        </w:rPr>
        <w:t>комплексов,  мест</w:t>
      </w:r>
      <w:proofErr w:type="gramEnd"/>
      <w:r w:rsidRPr="00FF5AA3">
        <w:rPr>
          <w:rFonts w:ascii="Times New Roman" w:hAnsi="Times New Roman" w:cs="Times New Roman"/>
          <w:sz w:val="24"/>
          <w:szCs w:val="24"/>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заправка</w:t>
      </w:r>
      <w:proofErr w:type="gramEnd"/>
      <w:r w:rsidRPr="00FF5AA3">
        <w:rPr>
          <w:rFonts w:ascii="Times New Roman" w:hAnsi="Times New Roman" w:cs="Times New Roman"/>
          <w:sz w:val="24"/>
          <w:szCs w:val="24"/>
        </w:rPr>
        <w:t xml:space="preserve">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водоохранных зон </w:t>
      </w:r>
      <w:r w:rsidRPr="00CD0893">
        <w:rPr>
          <w:b w:val="0"/>
          <w:color w:val="auto"/>
          <w:szCs w:val="24"/>
          <w:lang w:val="ru-RU"/>
        </w:rPr>
        <w:lastRenderedPageBreak/>
        <w:t>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 xml:space="preserve">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w:t>
      </w:r>
      <w:r w:rsidRPr="00E03355">
        <w:rPr>
          <w:rFonts w:ascii="Times New Roman" w:hAnsi="Times New Roman"/>
          <w:sz w:val="24"/>
          <w:szCs w:val="24"/>
        </w:rPr>
        <w:lastRenderedPageBreak/>
        <w:t>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при реконструкции существующих объектов капитального </w:t>
      </w:r>
      <w:proofErr w:type="gramStart"/>
      <w:r w:rsidRPr="008322E8">
        <w:rPr>
          <w:rFonts w:ascii="Times New Roman" w:hAnsi="Times New Roman"/>
          <w:sz w:val="24"/>
          <w:szCs w:val="24"/>
        </w:rPr>
        <w:t>строительства  необходимо</w:t>
      </w:r>
      <w:proofErr w:type="gramEnd"/>
      <w:r w:rsidRPr="008322E8">
        <w:rPr>
          <w:rFonts w:ascii="Times New Roman" w:hAnsi="Times New Roman"/>
          <w:sz w:val="24"/>
          <w:szCs w:val="24"/>
        </w:rPr>
        <w:t xml:space="preserve">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проведение мероприятий по укреплению участков, подверженных эрозии </w:t>
      </w:r>
      <w:proofErr w:type="gramStart"/>
      <w:r w:rsidRPr="008322E8">
        <w:rPr>
          <w:rFonts w:ascii="Times New Roman" w:hAnsi="Times New Roman"/>
          <w:sz w:val="24"/>
          <w:szCs w:val="24"/>
        </w:rPr>
        <w:t>склонов( травяное</w:t>
      </w:r>
      <w:proofErr w:type="gramEnd"/>
      <w:r w:rsidRPr="008322E8">
        <w:rPr>
          <w:rFonts w:ascii="Times New Roman" w:hAnsi="Times New Roman"/>
          <w:sz w:val="24"/>
          <w:szCs w:val="24"/>
        </w:rPr>
        <w:t xml:space="preserve">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w:t>
      </w:r>
      <w:proofErr w:type="gramStart"/>
      <w:r w:rsidRPr="008322E8">
        <w:rPr>
          <w:rFonts w:ascii="Times New Roman" w:hAnsi="Times New Roman"/>
          <w:sz w:val="24"/>
          <w:szCs w:val="24"/>
        </w:rPr>
        <w:t>опорожнением  их</w:t>
      </w:r>
      <w:proofErr w:type="gramEnd"/>
      <w:r w:rsidRPr="008322E8">
        <w:rPr>
          <w:rFonts w:ascii="Times New Roman" w:hAnsi="Times New Roman"/>
          <w:sz w:val="24"/>
          <w:szCs w:val="24"/>
        </w:rPr>
        <w:t xml:space="preserve">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proofErr w:type="gramStart"/>
      <w:r w:rsidRPr="008322E8">
        <w:rPr>
          <w:rFonts w:ascii="Times New Roman" w:hAnsi="Times New Roman"/>
          <w:sz w:val="24"/>
          <w:szCs w:val="24"/>
        </w:rPr>
        <w:t>согласований с отделом архитектуры</w:t>
      </w:r>
      <w:proofErr w:type="gramEnd"/>
      <w:r w:rsidRPr="008322E8">
        <w:rPr>
          <w:rFonts w:ascii="Times New Roman" w:hAnsi="Times New Roman"/>
          <w:sz w:val="24"/>
          <w:szCs w:val="24"/>
        </w:rPr>
        <w:t xml:space="preserve">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заправка топливом, мойка и ремонт автомобилей, тракторов и </w:t>
      </w:r>
      <w:proofErr w:type="gramStart"/>
      <w:r w:rsidRPr="008322E8">
        <w:rPr>
          <w:rFonts w:ascii="Times New Roman" w:hAnsi="Times New Roman"/>
          <w:sz w:val="24"/>
          <w:szCs w:val="24"/>
        </w:rPr>
        <w:t>других машин</w:t>
      </w:r>
      <w:proofErr w:type="gramEnd"/>
      <w:r w:rsidRPr="008322E8">
        <w:rPr>
          <w:rFonts w:ascii="Times New Roman" w:hAnsi="Times New Roman"/>
          <w:sz w:val="24"/>
          <w:szCs w:val="24"/>
        </w:rPr>
        <w:t xml:space="preserve">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w:t>
      </w:r>
      <w:r w:rsidRPr="00C862C4">
        <w:rPr>
          <w:rFonts w:ascii="Times New Roman" w:eastAsia="Calibri" w:hAnsi="Times New Roman"/>
          <w:sz w:val="24"/>
          <w:szCs w:val="24"/>
          <w:lang w:eastAsia="en-US"/>
        </w:rPr>
        <w:lastRenderedPageBreak/>
        <w:t xml:space="preserve">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w:t>
      </w:r>
      <w:proofErr w:type="gramStart"/>
      <w:r w:rsidRPr="00C862C4">
        <w:rPr>
          <w:rFonts w:ascii="Times New Roman" w:eastAsia="Calibri" w:hAnsi="Times New Roman"/>
          <w:sz w:val="24"/>
          <w:szCs w:val="24"/>
          <w:lang w:eastAsia="en-US"/>
        </w:rPr>
        <w:t>от этого территорий</w:t>
      </w:r>
      <w:proofErr w:type="gramEnd"/>
      <w:r w:rsidRPr="00C862C4">
        <w:rPr>
          <w:rFonts w:ascii="Times New Roman" w:eastAsia="Calibri" w:hAnsi="Times New Roman"/>
          <w:sz w:val="24"/>
          <w:szCs w:val="24"/>
          <w:lang w:eastAsia="en-US"/>
        </w:rPr>
        <w:t xml:space="preserve">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w:t>
      </w:r>
      <w:proofErr w:type="gramStart"/>
      <w:r w:rsidRPr="00B91948">
        <w:rPr>
          <w:rStyle w:val="219pt"/>
          <w:rFonts w:ascii="Times New Roman" w:hAnsi="Times New Roman" w:cs="Times New Roman"/>
          <w:sz w:val="24"/>
          <w:szCs w:val="28"/>
        </w:rPr>
        <w:t>быть  произведен</w:t>
      </w:r>
      <w:proofErr w:type="gramEnd"/>
      <w:r w:rsidRPr="00B91948">
        <w:rPr>
          <w:rStyle w:val="219pt"/>
          <w:rFonts w:ascii="Times New Roman" w:hAnsi="Times New Roman" w:cs="Times New Roman"/>
          <w:sz w:val="24"/>
          <w:szCs w:val="28"/>
        </w:rPr>
        <w:t xml:space="preserve">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w:t>
      </w:r>
      <w:r w:rsidRPr="008322E8">
        <w:rPr>
          <w:rStyle w:val="12"/>
          <w:color w:val="000000"/>
          <w:sz w:val="24"/>
          <w:szCs w:val="24"/>
        </w:rPr>
        <w:lastRenderedPageBreak/>
        <w:t>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4465DD">
        <w:rPr>
          <w:rFonts w:ascii="Times New Roman" w:eastAsia="Calibri" w:hAnsi="Times New Roman"/>
          <w:color w:val="000000"/>
          <w:sz w:val="24"/>
          <w:szCs w:val="23"/>
          <w:lang w:eastAsia="en-US"/>
        </w:rPr>
        <w:t>Бурунчинский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приведённой в статье 42 настоящих Правил, действие градостроительных регламентов не </w:t>
      </w:r>
      <w:r w:rsidRPr="0052095C">
        <w:rPr>
          <w:rFonts w:ascii="Times New Roman" w:eastAsia="Calibri" w:hAnsi="Times New Roman"/>
          <w:color w:val="000000"/>
          <w:sz w:val="24"/>
          <w:szCs w:val="23"/>
          <w:lang w:eastAsia="en-US"/>
        </w:rPr>
        <w:lastRenderedPageBreak/>
        <w:t>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4465DD">
        <w:rPr>
          <w:rFonts w:ascii="Times New Roman" w:eastAsia="Calibri" w:hAnsi="Times New Roman"/>
          <w:color w:val="000000"/>
          <w:sz w:val="24"/>
          <w:szCs w:val="23"/>
          <w:lang w:eastAsia="en-US"/>
        </w:rPr>
        <w:t>Бурунчинский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4465DD">
        <w:rPr>
          <w:rFonts w:ascii="Times New Roman" w:hAnsi="Times New Roman"/>
          <w:sz w:val="24"/>
          <w:szCs w:val="23"/>
        </w:rPr>
        <w:t>Бурунчинский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w:t>
      </w:r>
      <w:proofErr w:type="gramStart"/>
      <w:r w:rsidRPr="0001134C">
        <w:rPr>
          <w:rFonts w:ascii="Times New Roman" w:hAnsi="Times New Roman"/>
          <w:sz w:val="24"/>
          <w:szCs w:val="23"/>
        </w:rPr>
        <w:t>земли</w:t>
      </w:r>
      <w:proofErr w:type="gramEnd"/>
      <w:r w:rsidRPr="0001134C">
        <w:rPr>
          <w:rFonts w:ascii="Times New Roman" w:hAnsi="Times New Roman"/>
          <w:sz w:val="24"/>
          <w:szCs w:val="23"/>
        </w:rPr>
        <w:t xml:space="preserve">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4465DD">
        <w:rPr>
          <w:rFonts w:ascii="Times New Roman" w:hAnsi="Times New Roman"/>
          <w:sz w:val="24"/>
          <w:szCs w:val="23"/>
        </w:rPr>
        <w:t>Бурунчинский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38" w:rsidRDefault="000A0A38" w:rsidP="000C2546">
      <w:pPr>
        <w:spacing w:after="0" w:line="240" w:lineRule="auto"/>
      </w:pPr>
      <w:r>
        <w:separator/>
      </w:r>
    </w:p>
  </w:endnote>
  <w:endnote w:type="continuationSeparator" w:id="0">
    <w:p w:rsidR="000A0A38" w:rsidRDefault="000A0A3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0C1092"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4B16A0">
      <w:rPr>
        <w:rFonts w:ascii="Times New Roman" w:hAnsi="Times New Roman"/>
        <w:noProof/>
        <w:color w:val="943634"/>
      </w:rPr>
      <w:t>21</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38" w:rsidRDefault="000A0A38" w:rsidP="000C2546">
      <w:pPr>
        <w:spacing w:after="0" w:line="240" w:lineRule="auto"/>
      </w:pPr>
      <w:r>
        <w:separator/>
      </w:r>
    </w:p>
  </w:footnote>
  <w:footnote w:type="continuationSeparator" w:id="0">
    <w:p w:rsidR="000A0A38" w:rsidRDefault="000A0A38"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4465DD">
      <w:rPr>
        <w:rFonts w:ascii="Times New Roman" w:hAnsi="Times New Roman"/>
        <w:color w:val="C00000"/>
      </w:rPr>
      <w:t>Бурунчинский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8"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1"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6"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6"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8"/>
  </w:num>
  <w:num w:numId="2">
    <w:abstractNumId w:val="25"/>
  </w:num>
  <w:num w:numId="3">
    <w:abstractNumId w:val="65"/>
  </w:num>
  <w:num w:numId="4">
    <w:abstractNumId w:val="9"/>
  </w:num>
  <w:num w:numId="5">
    <w:abstractNumId w:val="63"/>
  </w:num>
  <w:num w:numId="6">
    <w:abstractNumId w:val="54"/>
  </w:num>
  <w:num w:numId="7">
    <w:abstractNumId w:val="62"/>
  </w:num>
  <w:num w:numId="8">
    <w:abstractNumId w:val="16"/>
  </w:num>
  <w:num w:numId="9">
    <w:abstractNumId w:val="51"/>
  </w:num>
  <w:num w:numId="10">
    <w:abstractNumId w:val="8"/>
  </w:num>
  <w:num w:numId="11">
    <w:abstractNumId w:val="52"/>
  </w:num>
  <w:num w:numId="12">
    <w:abstractNumId w:val="5"/>
  </w:num>
  <w:num w:numId="13">
    <w:abstractNumId w:val="39"/>
  </w:num>
  <w:num w:numId="14">
    <w:abstractNumId w:val="7"/>
  </w:num>
  <w:num w:numId="15">
    <w:abstractNumId w:val="15"/>
  </w:num>
  <w:num w:numId="16">
    <w:abstractNumId w:val="60"/>
  </w:num>
  <w:num w:numId="17">
    <w:abstractNumId w:val="18"/>
  </w:num>
  <w:num w:numId="18">
    <w:abstractNumId w:val="27"/>
  </w:num>
  <w:num w:numId="19">
    <w:abstractNumId w:val="30"/>
  </w:num>
  <w:num w:numId="20">
    <w:abstractNumId w:val="41"/>
  </w:num>
  <w:num w:numId="21">
    <w:abstractNumId w:val="44"/>
  </w:num>
  <w:num w:numId="22">
    <w:abstractNumId w:val="37"/>
  </w:num>
  <w:num w:numId="23">
    <w:abstractNumId w:val="72"/>
  </w:num>
  <w:num w:numId="24">
    <w:abstractNumId w:val="24"/>
  </w:num>
  <w:num w:numId="25">
    <w:abstractNumId w:val="43"/>
  </w:num>
  <w:num w:numId="26">
    <w:abstractNumId w:val="66"/>
  </w:num>
  <w:num w:numId="27">
    <w:abstractNumId w:val="35"/>
  </w:num>
  <w:num w:numId="28">
    <w:abstractNumId w:val="28"/>
  </w:num>
  <w:num w:numId="29">
    <w:abstractNumId w:val="48"/>
  </w:num>
  <w:num w:numId="30">
    <w:abstractNumId w:val="1"/>
  </w:num>
  <w:num w:numId="31">
    <w:abstractNumId w:val="32"/>
  </w:num>
  <w:num w:numId="32">
    <w:abstractNumId w:val="13"/>
  </w:num>
  <w:num w:numId="33">
    <w:abstractNumId w:val="55"/>
  </w:num>
  <w:num w:numId="34">
    <w:abstractNumId w:val="0"/>
  </w:num>
  <w:num w:numId="35">
    <w:abstractNumId w:val="6"/>
  </w:num>
  <w:num w:numId="36">
    <w:abstractNumId w:val="19"/>
  </w:num>
  <w:num w:numId="37">
    <w:abstractNumId w:val="14"/>
  </w:num>
  <w:num w:numId="38">
    <w:abstractNumId w:val="53"/>
  </w:num>
  <w:num w:numId="39">
    <w:abstractNumId w:val="3"/>
  </w:num>
  <w:num w:numId="40">
    <w:abstractNumId w:val="47"/>
  </w:num>
  <w:num w:numId="41">
    <w:abstractNumId w:val="42"/>
  </w:num>
  <w:num w:numId="42">
    <w:abstractNumId w:val="11"/>
  </w:num>
  <w:num w:numId="43">
    <w:abstractNumId w:val="57"/>
  </w:num>
  <w:num w:numId="44">
    <w:abstractNumId w:val="12"/>
  </w:num>
  <w:num w:numId="45">
    <w:abstractNumId w:val="29"/>
  </w:num>
  <w:num w:numId="46">
    <w:abstractNumId w:val="36"/>
  </w:num>
  <w:num w:numId="47">
    <w:abstractNumId w:val="21"/>
  </w:num>
  <w:num w:numId="48">
    <w:abstractNumId w:val="46"/>
  </w:num>
  <w:num w:numId="49">
    <w:abstractNumId w:val="26"/>
  </w:num>
  <w:num w:numId="50">
    <w:abstractNumId w:val="56"/>
  </w:num>
  <w:num w:numId="51">
    <w:abstractNumId w:val="45"/>
  </w:num>
  <w:num w:numId="52">
    <w:abstractNumId w:val="31"/>
  </w:num>
  <w:num w:numId="53">
    <w:abstractNumId w:val="69"/>
  </w:num>
  <w:num w:numId="54">
    <w:abstractNumId w:val="17"/>
  </w:num>
  <w:num w:numId="55">
    <w:abstractNumId w:val="64"/>
  </w:num>
  <w:num w:numId="56">
    <w:abstractNumId w:val="23"/>
  </w:num>
  <w:num w:numId="57">
    <w:abstractNumId w:val="49"/>
  </w:num>
  <w:num w:numId="58">
    <w:abstractNumId w:val="33"/>
  </w:num>
  <w:num w:numId="59">
    <w:abstractNumId w:val="50"/>
  </w:num>
  <w:num w:numId="60">
    <w:abstractNumId w:val="61"/>
  </w:num>
  <w:num w:numId="61">
    <w:abstractNumId w:val="67"/>
  </w:num>
  <w:num w:numId="62">
    <w:abstractNumId w:val="58"/>
  </w:num>
  <w:num w:numId="63">
    <w:abstractNumId w:val="59"/>
  </w:num>
  <w:num w:numId="64">
    <w:abstractNumId w:val="71"/>
  </w:num>
  <w:num w:numId="65">
    <w:abstractNumId w:val="20"/>
  </w:num>
  <w:num w:numId="66">
    <w:abstractNumId w:val="40"/>
  </w:num>
  <w:num w:numId="67">
    <w:abstractNumId w:val="34"/>
  </w:num>
  <w:num w:numId="68">
    <w:abstractNumId w:val="2"/>
  </w:num>
  <w:num w:numId="69">
    <w:abstractNumId w:val="4"/>
  </w:num>
  <w:num w:numId="70">
    <w:abstractNumId w:val="10"/>
  </w:num>
  <w:num w:numId="71">
    <w:abstractNumId w:val="70"/>
  </w:num>
  <w:num w:numId="72">
    <w:abstractNumId w:val="38"/>
  </w:num>
  <w:num w:numId="7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0852"/>
    <w:rsid w:val="00052F53"/>
    <w:rsid w:val="00053811"/>
    <w:rsid w:val="00063DE2"/>
    <w:rsid w:val="00073B14"/>
    <w:rsid w:val="00074941"/>
    <w:rsid w:val="000839EA"/>
    <w:rsid w:val="0008679D"/>
    <w:rsid w:val="00087E85"/>
    <w:rsid w:val="00093DA4"/>
    <w:rsid w:val="00094FA1"/>
    <w:rsid w:val="00097672"/>
    <w:rsid w:val="000A0A38"/>
    <w:rsid w:val="000A31EF"/>
    <w:rsid w:val="000B0987"/>
    <w:rsid w:val="000B09D6"/>
    <w:rsid w:val="000B5456"/>
    <w:rsid w:val="000B6A17"/>
    <w:rsid w:val="000C1092"/>
    <w:rsid w:val="000C2546"/>
    <w:rsid w:val="000C3A41"/>
    <w:rsid w:val="000C4442"/>
    <w:rsid w:val="000C4BB9"/>
    <w:rsid w:val="000C5D69"/>
    <w:rsid w:val="000D1A43"/>
    <w:rsid w:val="000D256B"/>
    <w:rsid w:val="000D62B9"/>
    <w:rsid w:val="000D7E34"/>
    <w:rsid w:val="000E1B4E"/>
    <w:rsid w:val="000E3881"/>
    <w:rsid w:val="000E41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9718C"/>
    <w:rsid w:val="001A2BE7"/>
    <w:rsid w:val="001A652A"/>
    <w:rsid w:val="001B0E9F"/>
    <w:rsid w:val="001B732B"/>
    <w:rsid w:val="001C4ECE"/>
    <w:rsid w:val="001D0545"/>
    <w:rsid w:val="001D194D"/>
    <w:rsid w:val="001D3BB2"/>
    <w:rsid w:val="001D3F21"/>
    <w:rsid w:val="001D3F4B"/>
    <w:rsid w:val="001E4B47"/>
    <w:rsid w:val="001E7041"/>
    <w:rsid w:val="001E7D7A"/>
    <w:rsid w:val="001F4611"/>
    <w:rsid w:val="0020075E"/>
    <w:rsid w:val="002127CA"/>
    <w:rsid w:val="00212A10"/>
    <w:rsid w:val="002140BF"/>
    <w:rsid w:val="002144BD"/>
    <w:rsid w:val="00215675"/>
    <w:rsid w:val="0022591E"/>
    <w:rsid w:val="00226FC4"/>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7D7"/>
    <w:rsid w:val="003C0CB5"/>
    <w:rsid w:val="003C1AC0"/>
    <w:rsid w:val="003D76AE"/>
    <w:rsid w:val="003E1310"/>
    <w:rsid w:val="003E41DD"/>
    <w:rsid w:val="003F3549"/>
    <w:rsid w:val="003F4372"/>
    <w:rsid w:val="003F51A0"/>
    <w:rsid w:val="003F7319"/>
    <w:rsid w:val="003F7962"/>
    <w:rsid w:val="004030ED"/>
    <w:rsid w:val="0040352C"/>
    <w:rsid w:val="00403BCB"/>
    <w:rsid w:val="00410D46"/>
    <w:rsid w:val="004461FA"/>
    <w:rsid w:val="0044651F"/>
    <w:rsid w:val="004465DD"/>
    <w:rsid w:val="00447C42"/>
    <w:rsid w:val="004548E1"/>
    <w:rsid w:val="004557BC"/>
    <w:rsid w:val="00456F07"/>
    <w:rsid w:val="0046547E"/>
    <w:rsid w:val="00467016"/>
    <w:rsid w:val="00474935"/>
    <w:rsid w:val="004803C7"/>
    <w:rsid w:val="00481496"/>
    <w:rsid w:val="004868C2"/>
    <w:rsid w:val="00490145"/>
    <w:rsid w:val="0049541F"/>
    <w:rsid w:val="004A245D"/>
    <w:rsid w:val="004A3011"/>
    <w:rsid w:val="004A3312"/>
    <w:rsid w:val="004B16A0"/>
    <w:rsid w:val="004B231A"/>
    <w:rsid w:val="004B2A7E"/>
    <w:rsid w:val="004B4688"/>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24A10"/>
    <w:rsid w:val="0063017A"/>
    <w:rsid w:val="00630311"/>
    <w:rsid w:val="006330E7"/>
    <w:rsid w:val="00645D99"/>
    <w:rsid w:val="006475AB"/>
    <w:rsid w:val="0065130F"/>
    <w:rsid w:val="00651BED"/>
    <w:rsid w:val="006531DC"/>
    <w:rsid w:val="00656796"/>
    <w:rsid w:val="0067152C"/>
    <w:rsid w:val="0067521B"/>
    <w:rsid w:val="00677B5E"/>
    <w:rsid w:val="006806BC"/>
    <w:rsid w:val="006836CC"/>
    <w:rsid w:val="00684854"/>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44F0"/>
    <w:rsid w:val="00755715"/>
    <w:rsid w:val="00766EE2"/>
    <w:rsid w:val="0077201B"/>
    <w:rsid w:val="007802E8"/>
    <w:rsid w:val="00780AF9"/>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3B7F"/>
    <w:rsid w:val="00917025"/>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5730"/>
    <w:rsid w:val="00AA6DCB"/>
    <w:rsid w:val="00AB33D3"/>
    <w:rsid w:val="00AB3AE2"/>
    <w:rsid w:val="00AC02D9"/>
    <w:rsid w:val="00AC0BBC"/>
    <w:rsid w:val="00AC7E2E"/>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4BF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86B2B"/>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3EAC"/>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2328"/>
    <w:rsid w:val="00D95F2B"/>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54DC3"/>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E6891"/>
    <w:rsid w:val="00EF1252"/>
    <w:rsid w:val="00EF13AF"/>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A66E7"/>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FC8BB5-B5DE-4664-8D7E-4434CA46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table" w:styleId="af1">
    <w:name w:val="Table Grid"/>
    <w:basedOn w:val="a2"/>
    <w:uiPriority w:val="59"/>
    <w:rsid w:val="00780A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1"/>
    <w:uiPriority w:val="59"/>
    <w:rsid w:val="00780A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тступ перед"/>
    <w:basedOn w:val="a0"/>
    <w:rsid w:val="00073B1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1"/>
    <w:uiPriority w:val="59"/>
    <w:rsid w:val="00073B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944B-BC16-4287-8D78-7EDE400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16785</Words>
  <Characters>95679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112240</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2013-12-18T10:01:00Z</cp:lastPrinted>
  <dcterms:created xsi:type="dcterms:W3CDTF">2016-12-28T02:10:00Z</dcterms:created>
  <dcterms:modified xsi:type="dcterms:W3CDTF">2016-12-28T02:10:00Z</dcterms:modified>
</cp:coreProperties>
</file>