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60" w:rsidRPr="009134AA" w:rsidRDefault="00ED7B60" w:rsidP="00ED7B60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19050" t="0" r="9525" b="0"/>
            <wp:docPr id="4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60" w:rsidRPr="009134AA" w:rsidRDefault="00ED7B60" w:rsidP="00ED7B60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ED7B60" w:rsidRPr="009134AA" w:rsidRDefault="00ED7B60" w:rsidP="00ED7B60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ED7B60" w:rsidRPr="009134AA" w:rsidRDefault="00ED7B60" w:rsidP="00ED7B60">
      <w:pPr>
        <w:pStyle w:val="a6"/>
        <w:jc w:val="center"/>
        <w:rPr>
          <w:rFonts w:ascii="Times New Roman" w:hAnsi="Times New Roman"/>
          <w:caps/>
          <w:sz w:val="28"/>
          <w:szCs w:val="28"/>
        </w:rPr>
      </w:pPr>
    </w:p>
    <w:p w:rsidR="00ED7B60" w:rsidRPr="009134AA" w:rsidRDefault="00ED7B60" w:rsidP="00ED7B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ED7B60" w:rsidRPr="00EA0AA7" w:rsidRDefault="00ED7B60" w:rsidP="00ED7B60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очередного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десятого </w:t>
      </w:r>
      <w:r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ED7B60" w:rsidRPr="00EA0AA7" w:rsidRDefault="00ED7B60" w:rsidP="00ED7B60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ED7B60" w:rsidRPr="009134AA" w:rsidRDefault="00ED7B60" w:rsidP="00ED7B6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ED7B60" w:rsidRPr="009134AA" w:rsidTr="00484463">
        <w:trPr>
          <w:trHeight w:val="388"/>
        </w:trPr>
        <w:tc>
          <w:tcPr>
            <w:tcW w:w="3067" w:type="dxa"/>
          </w:tcPr>
          <w:p w:rsidR="00ED7B60" w:rsidRDefault="00ED7B60" w:rsidP="004844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  <w:p w:rsidR="00ED7B60" w:rsidRDefault="00ED7B60" w:rsidP="00484463"/>
          <w:p w:rsidR="00ED7B60" w:rsidRPr="00041C88" w:rsidRDefault="00ED7B60" w:rsidP="00484463">
            <w:pPr>
              <w:jc w:val="center"/>
            </w:pPr>
          </w:p>
        </w:tc>
        <w:tc>
          <w:tcPr>
            <w:tcW w:w="3042" w:type="dxa"/>
          </w:tcPr>
          <w:p w:rsidR="00ED7B60" w:rsidRPr="009134AA" w:rsidRDefault="00ED7B60" w:rsidP="004844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ED7B60" w:rsidRPr="009134AA" w:rsidRDefault="00ED7B60" w:rsidP="004844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июня 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E413B" w:rsidRPr="00CE7106" w:rsidRDefault="002E413B" w:rsidP="002E413B">
      <w:pPr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kern w:val="28"/>
          <w:sz w:val="28"/>
          <w:szCs w:val="32"/>
        </w:rPr>
      </w:pPr>
      <w:r w:rsidRPr="00CE7106">
        <w:rPr>
          <w:rFonts w:ascii="Times New Roman" w:eastAsiaTheme="majorEastAsia" w:hAnsi="Times New Roman" w:cs="Times New Roman"/>
          <w:b/>
          <w:kern w:val="28"/>
          <w:sz w:val="28"/>
          <w:szCs w:val="32"/>
        </w:rPr>
        <w:t>Об утверждении положения «О составе, порядке подготовки и утвер</w:t>
      </w:r>
      <w:r w:rsidRPr="00CE7106">
        <w:rPr>
          <w:rFonts w:ascii="Times New Roman" w:eastAsiaTheme="majorEastAsia" w:hAnsi="Times New Roman" w:cs="Times New Roman"/>
          <w:b/>
          <w:kern w:val="28"/>
          <w:sz w:val="28"/>
          <w:szCs w:val="32"/>
        </w:rPr>
        <w:softHyphen/>
        <w:t xml:space="preserve">ждения местных нормативов градостроительного проектирования сельского поселения </w:t>
      </w:r>
      <w:r w:rsidR="00ED7B60">
        <w:rPr>
          <w:rFonts w:ascii="Times New Roman" w:eastAsiaTheme="majorEastAsia" w:hAnsi="Times New Roman" w:cs="Times New Roman"/>
          <w:b/>
          <w:kern w:val="28"/>
          <w:sz w:val="28"/>
          <w:szCs w:val="32"/>
        </w:rPr>
        <w:t>Бурунчинский</w:t>
      </w:r>
      <w:r w:rsidRPr="00CE7106">
        <w:rPr>
          <w:rFonts w:ascii="Times New Roman" w:eastAsiaTheme="majorEastAsia" w:hAnsi="Times New Roman" w:cs="Times New Roman"/>
          <w:b/>
          <w:kern w:val="28"/>
          <w:sz w:val="28"/>
          <w:szCs w:val="32"/>
        </w:rPr>
        <w:t xml:space="preserve"> сельсовет Саракташского района Оренбургской области</w:t>
      </w: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благоприятных условий жизнедеятельности населения муниципального образования 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в соответствии со статьями 8, 24, 29,4 Градостроительного кодекса РФ, Приказа Министерства экономического развития РФ от 15.02.2021 №71, Устава муниципального образования 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E413B" w:rsidRPr="00CE7106" w:rsidRDefault="002E413B" w:rsidP="002E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1. Утвердить Положение «О составе, порядке подготовки и утверждения местных нор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мативов градостроительного проектирования сельского поселения 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2E413B" w:rsidRPr="00A854BD" w:rsidRDefault="002E413B" w:rsidP="002E413B">
      <w:pPr>
        <w:spacing w:before="240" w:after="60" w:line="240" w:lineRule="auto"/>
        <w:jc w:val="both"/>
        <w:outlineLvl w:val="0"/>
        <w:rPr>
          <w:rFonts w:ascii="Times New Roman" w:eastAsiaTheme="majorEastAsia" w:hAnsi="Times New Roman" w:cs="Times New Roman"/>
          <w:b/>
          <w:kern w:val="28"/>
          <w:sz w:val="28"/>
          <w:szCs w:val="32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46B77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r w:rsidR="00ED7B60" w:rsidRPr="00546B77"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Pr="00546B77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от 1</w:t>
      </w:r>
      <w:r w:rsidR="00546B77" w:rsidRPr="00546B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6B77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546B77" w:rsidRPr="00546B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B77">
        <w:rPr>
          <w:rFonts w:ascii="Times New Roman" w:eastAsia="Times New Roman" w:hAnsi="Times New Roman" w:cs="Times New Roman"/>
          <w:sz w:val="28"/>
          <w:szCs w:val="28"/>
        </w:rPr>
        <w:t>2014 г. № 1</w:t>
      </w:r>
      <w:r w:rsidR="00546B77" w:rsidRPr="00546B77">
        <w:rPr>
          <w:rFonts w:ascii="Times New Roman" w:eastAsia="Times New Roman" w:hAnsi="Times New Roman" w:cs="Times New Roman"/>
          <w:sz w:val="28"/>
          <w:szCs w:val="28"/>
        </w:rPr>
        <w:t>55</w:t>
      </w:r>
      <w:r w:rsidR="00ED7B60" w:rsidRPr="00546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B77">
        <w:rPr>
          <w:rFonts w:ascii="Times New Roman" w:eastAsiaTheme="majorEastAsia" w:hAnsi="Times New Roman" w:cs="Times New Roman"/>
          <w:kern w:val="28"/>
          <w:sz w:val="28"/>
          <w:szCs w:val="32"/>
        </w:rPr>
        <w:t>Об утверждении Положения «О составе, порядке подготовки и утвер</w:t>
      </w:r>
      <w:r w:rsidRPr="00546B77">
        <w:rPr>
          <w:rFonts w:ascii="Times New Roman" w:eastAsiaTheme="majorEastAsia" w:hAnsi="Times New Roman" w:cs="Times New Roman"/>
          <w:kern w:val="28"/>
          <w:sz w:val="28"/>
          <w:szCs w:val="32"/>
        </w:rPr>
        <w:softHyphen/>
        <w:t xml:space="preserve">ждения местных нормативов градостроительного </w:t>
      </w:r>
      <w:r w:rsidRPr="00546B77">
        <w:rPr>
          <w:rFonts w:ascii="Times New Roman" w:eastAsiaTheme="majorEastAsia" w:hAnsi="Times New Roman" w:cs="Times New Roman"/>
          <w:kern w:val="28"/>
          <w:sz w:val="28"/>
          <w:szCs w:val="32"/>
        </w:rPr>
        <w:lastRenderedPageBreak/>
        <w:t xml:space="preserve">проектирования сельского поселения </w:t>
      </w:r>
      <w:r w:rsidR="00ED7B60" w:rsidRPr="00546B77">
        <w:rPr>
          <w:rFonts w:ascii="Times New Roman" w:eastAsiaTheme="majorEastAsia" w:hAnsi="Times New Roman" w:cs="Times New Roman"/>
          <w:kern w:val="28"/>
          <w:sz w:val="28"/>
          <w:szCs w:val="32"/>
        </w:rPr>
        <w:t>Бурунчинский</w:t>
      </w:r>
      <w:r w:rsidRPr="00546B77">
        <w:rPr>
          <w:rFonts w:ascii="Times New Roman" w:eastAsiaTheme="majorEastAsia" w:hAnsi="Times New Roman" w:cs="Times New Roman"/>
          <w:kern w:val="28"/>
          <w:sz w:val="28"/>
          <w:szCs w:val="32"/>
        </w:rPr>
        <w:t xml:space="preserve"> сельсовет Саракташского района Оренбургской области</w:t>
      </w:r>
      <w:r w:rsidR="00546B77">
        <w:rPr>
          <w:rFonts w:ascii="Times New Roman" w:eastAsiaTheme="majorEastAsia" w:hAnsi="Times New Roman" w:cs="Times New Roman"/>
          <w:kern w:val="28"/>
          <w:sz w:val="28"/>
          <w:szCs w:val="32"/>
        </w:rPr>
        <w:t>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3. Поручить администрации 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организовать работу по подготовке местных нормативов градостроительного проектирования сельского поселения 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бюджетной, налоговой и финансовой политике, собственности, экономическим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46B77">
        <w:rPr>
          <w:rFonts w:ascii="Times New Roman" w:eastAsia="Times New Roman" w:hAnsi="Times New Roman" w:cs="Times New Roman"/>
          <w:sz w:val="28"/>
          <w:szCs w:val="28"/>
        </w:rPr>
        <w:t>Горбачев И.А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13B" w:rsidRDefault="002E413B" w:rsidP="002E413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5. Настоящее решение вступает в силу после дня его обнародования и подлежит размещению на официальном сайте 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r w:rsidR="00ED7B60">
        <w:rPr>
          <w:rFonts w:ascii="Times New Roman" w:eastAsia="Times New Roman" w:hAnsi="Times New Roman" w:cs="Times New Roman"/>
          <w:color w:val="000000"/>
          <w:sz w:val="28"/>
          <w:szCs w:val="28"/>
        </w:rPr>
        <w:t>Бурунчинский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546B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94"/>
        <w:gridCol w:w="4277"/>
      </w:tblGrid>
      <w:tr w:rsidR="002E413B" w:rsidRPr="00CE7106" w:rsidTr="006060DE">
        <w:tc>
          <w:tcPr>
            <w:tcW w:w="5637" w:type="dxa"/>
          </w:tcPr>
          <w:p w:rsidR="002E413B" w:rsidRPr="00CE7106" w:rsidRDefault="002E413B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E413B" w:rsidRPr="00CE7106" w:rsidRDefault="002E413B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</w:p>
          <w:p w:rsidR="002E413B" w:rsidRPr="00CE7106" w:rsidRDefault="002E413B" w:rsidP="00ED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</w:t>
            </w:r>
            <w:r w:rsidR="00ED7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С.Н.Жуков</w:t>
            </w: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3" w:type="dxa"/>
          </w:tcPr>
          <w:p w:rsidR="002E413B" w:rsidRPr="00CE7106" w:rsidRDefault="002E413B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2E413B" w:rsidRPr="00CE7106" w:rsidRDefault="002E413B" w:rsidP="00ED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 А.</w:t>
            </w:r>
            <w:r w:rsidR="00ED7B60">
              <w:rPr>
                <w:rFonts w:ascii="Times New Roman" w:eastAsia="Times New Roman" w:hAnsi="Times New Roman" w:cs="Times New Roman"/>
                <w:sz w:val="28"/>
                <w:szCs w:val="28"/>
              </w:rPr>
              <w:t>Н.Логинов</w:t>
            </w:r>
          </w:p>
        </w:tc>
      </w:tr>
    </w:tbl>
    <w:p w:rsidR="002E413B" w:rsidRPr="00CE7106" w:rsidRDefault="002E413B" w:rsidP="002E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Разослано: в дело, постоянной комиссии, прокуратуре района, в сельсовет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обнародования, на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сайт.</w:t>
      </w:r>
    </w:p>
    <w:p w:rsidR="002E413B" w:rsidRPr="00CE7106" w:rsidRDefault="002E413B" w:rsidP="002E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7B60" w:rsidRDefault="00ED7B60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7B60" w:rsidRDefault="00ED7B60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6B77" w:rsidRDefault="00546B77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6B77" w:rsidRDefault="00546B77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E413B" w:rsidRPr="00CE7106" w:rsidRDefault="002E413B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МО 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2E413B" w:rsidRPr="00CE7106" w:rsidRDefault="002E413B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2E413B" w:rsidRPr="00CE7106" w:rsidRDefault="002E413B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составе, порядке подготовки и утверждения местных нормативов градостроительного проектирования сельского поселения </w:t>
      </w:r>
      <w:r w:rsidR="00ED7B60">
        <w:rPr>
          <w:rFonts w:ascii="Times New Roman" w:eastAsia="Times New Roman" w:hAnsi="Times New Roman" w:cs="Times New Roman"/>
          <w:b/>
          <w:bCs/>
          <w:sz w:val="28"/>
          <w:szCs w:val="28"/>
        </w:rPr>
        <w:t>Бурунчинский</w:t>
      </w: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Саракташского района Оренбургской области»</w:t>
      </w: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1.  Общие положения.</w:t>
      </w: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«О составе, порядке подготовки и утверждения местных нормативов градостроительного проектирования муниципального образования 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 (далее – Положение) разработано в соответствии Градо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строительным кодексом РФ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(далее - ГрК РФ), Приказом Министерства экономического развития РФ от  15.02.2021 №71, нормативно-правовыми актами муниципального образования </w:t>
      </w:r>
      <w:r w:rsidR="00ED7B60"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Оренбургской области (далее – сельское поселение).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1.2. Требования настоящего Положения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</w:t>
      </w:r>
      <w:hyperlink r:id="rId5" w:tooltip="Органы местного самоуправления" w:history="1">
        <w:r w:rsidRPr="00CE7106">
          <w:rPr>
            <w:rFonts w:ascii="Times New Roman" w:eastAsia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обеспечивающих в пределах своих полномочий подготовку таких нормативов, а также органов, координирующих и контролирующих осуществлении градостроительной деятельности.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1.3. Под местными нормативами градостроительного проектирования сельского поселения понимаются нормативные правовые акты, которые содержат расчетные 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обеспечения населения объектами регионального значения и предельные значения расчетных показателей местного значения, которые отображаются в документах территориального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 (далее - ДТП), учитываются в правилах землепользования и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застройки (далее - ПЗЗ) (в целях комплексного развития территории), в документации по планировке территории (далее - ДППТ), с помощью которых планируется обеспечение базовыми социальными, транспортными,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инженерными услугами, основываясь на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положениях СПР – стратегии пространственного развития, стратегий социально-эконом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развития субъектов и программ социально- экономического развития субъектов Российской Федерации, муниципальных образований. Заказчиком их подготовки выступает администрация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1.4.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Целью утверждения и применения НГП является повышение качества обеспеченности населения объектами коммунальной, транспортной,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социальной инфраструктур и благоустройства с учетом планируемых показателей социально-экономического развития, установленных соответствующими документами стратегического планирования Оренбургской области, Саракташского района и сельского поселения.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Внесение изменений в НГП (актуализацию НГП), корректировка расчетных показателей минимально допустимого уровня обеспеченности объектами коммунальной, социальной, транспортной инфраструктур и расчетных показателей максимально допустимого уровня территориальной доступности таких объектов для населения с учетом изменения социально-экономической, демографической ситуаций осуществляется не реже чем один раз в пять лет.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1.5. В соответствии с частью 1 статьи 29.4 ГрК РФ местные нормативы градостроительного проектирования принимаются в форме нормативных правовых актов, утверждаемых решением Совета депутатов сельского поселения.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2. Состав нормативов градостроительного проектирования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В соответствии со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статьей 29.2 ГрК РФ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НГП включают в себя: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1) основную часть;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3) правила и область применения расчетных показателей нормативов градостроительного проектирования.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В основную часть НГП включаются следующие разделы: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а) общие положения;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б) перечень расчетных показателей для местных НГП;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в) приложения к основной части (термины, перечень НПА, технические и методические нормы, картографические материалы). 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В материалы по обоснованию расчетных показателей НГП включаются следующие разделы: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а) информация о современном состоянии, прогнозе развития Оренбургской области  и  сельского поселения;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б) обоснование положений основной части НГП;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в) приложения.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В местных НГП устанавливаются предельные значения расчетных показателей в следующих областях: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а) автомобильные дороги местного значения и уличная сеть, транспортная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инфраструктура, организация парковок;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б) организация транспортного обслуживания населения (общественный транспорт);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в) образование, в том числе дополнительное;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г) здравоохранение - в случае передачи соответствующих полномочий ОМСУ;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д) физическая культура и спорт;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е) культура и искусство, в том числе библиотечное обслуживание, организация музеев;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ж) содержание мест захоронения, организация ритуальных услуг;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з) организация строительства муниципального жилищного фонда, создание условий для жилищного строительства;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и) благоустройство территории, в том числе озеленение и создание общественных пространств.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2.2. Местные нормативы градостроительного проектирования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1) расчетные показатели обеспеченности и интенсивности использования жилых и общественно-деловых зон: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площади территорий жилых зон в зависимости от типа застройки (в гектарах);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плотности населения квартала, микрорайона (количество жителей на 1 гектар площади застройки);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жилищной обеспеченности (в квадратных метрах общей площади на 1 человека);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земельных участков для индивидуального строительства (в гектарах);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предельно допустимых параметров застройки участков малоэтажного индивидуального строительства (в процентах, отношение общей площади застройки к общей площади участка);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площади дворовых площадок для игр и отдыха (в квадратных метрах на 1 жителя квартала);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дошкольными учреждениями (в штуках, количество мест на 1тыс. жителей);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общеобразовательными учреждениями (в штуках, количество мест на 1тыс. жителей);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учреждениями и предприятиями обслуживания (в штуках, количество мест на 1тыс. жителей);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пожарными депо и пожарными автомобилями (в штуках, количество депо (пожарных машин) на 1тыс. жителей и (или) на площадь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дошкольного учреждения (в квадратных метрах на 1 место);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образовательного учреждения (в квадратных метрах на 1 учащегося);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размеров земельных участков учреждений и предприятий обслу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живания (в квадратных метрах на количество посетителей, служащих);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- нормативы радиуса обслуживания пожарного депо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радиуса обслуживания учреждений и предприятий (в метрах); иные расчетные показатели обеспеченности и интенсивности использования жилых и общественно-деловых территорий,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2) расчетные показатели потребности и интенсивности использования коммунально-складских и производственных зон: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площади помещений общетоварных складов (в квадратных метрах, 1 квадратный метр площади помещения на 1тыс. жителей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общетоварного склада (в квадратных метрах, 1 квадратный метр площади участка на 1тыс. жителей поселения); нормативы вместимости специализированных складов (в тоннах, тонн на 1тыс. жителей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специализированного склада (в квад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ратных метрах, 1 квадратный метр площади участка на 1тыс. жителей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иные расчетные показатели потребности и интенсивности использования коммунально-складских и производственных территорий,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3) расчетные показатели потребности в территориях зеленых насаждений общего пользования: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ширины защитных лесных полос вокруг поселений, расположенных в безлесных и малолесных районах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в территориях рекреации в пределах нормативной транспортной доступности (в процентах, 1 процент от площади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застроенной территории поселения зелеными насаждениями (в процентах, 1 процент от общей площади, застроенной территории);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жилой застройки зелеными насаждениями (в процентах, 1 процент от общей площади, жилой застройки); нормативы обеспеченности санитарно-защитных зон промышленных предприятий зелеными насаждениями (в процентах);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площади озелененных территорий общего пользования (в квадратных метрах, 1 квадратный метр на 1 человека в зависимости от общей численности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площади территорий парков, садов, скверов (в гектарах);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расстояния от городских парков до максимально удаленной части жилой застройки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(расчетное число) единовременных посетителей территории парков, скверов (количество посетителей на 1 гектар площади парка);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- нормативы площади питомников и цветочно-оранжерейных хозяйств городского значения (в квадратных метрах, 1 квадратный метр на 1 жителя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иные расчетные показатели потребности в территориях зеленых насаждений общего пользования,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4) расчетные показатели потребности и интенсивности использования улично-дорожной сети: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параметры улиц и дорог различных категорий;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плотность магистральных улиц и дорог населенных пунктов (в километрах на квадратный километр, отношение общей длины автомагистралей к площади застройки);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уровня автомобилизации (количество транспортных средств на 1тыс. жителей);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расстояние между въездами и сквозными проездами на территорию микрорайона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длина тупиковых проездов (в метрах); расстояние между пешеходными переходами (в метрах); расстояния от края проезжей части магистральных дорог и улиц до линии регулирования застройки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плотность сети общественного пассажирского транспорта на застроенных территориях (в километрах на квадратный километр); расстояние до ближайшей остановки общественного пассажирского транспорта от жилых домов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расстояние до ближайшей остановки общественного пассажирского транспорта от объектов массового посещения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расстояние между остановочными пунктами на линиях общественного пассажирского транспорта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иные расчетные показатели потребности и интенсивности использования улично-дорожной сети,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5)  расчетные показатели необходимого числа сооружений для хранения и обслуживания транспортных средств: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-нормативы обеспеченности местами хранения </w:t>
      </w:r>
      <w:hyperlink r:id="rId6" w:tooltip="Индивидуальный транспорт" w:history="1">
        <w:r w:rsidRPr="00CE7106">
          <w:rPr>
            <w:rFonts w:ascii="Times New Roman" w:eastAsia="Times New Roman" w:hAnsi="Times New Roman" w:cs="Times New Roman"/>
            <w:sz w:val="28"/>
            <w:szCs w:val="28"/>
          </w:rPr>
          <w:t>индивидуального транспорта</w:t>
        </w:r>
      </w:hyperlink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(в процентах, количество мест хранения от расчетного числа индивидуального транспорта);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местами парковки для учреждений и предприятий обслуживания (машино-мест на количество посетителей, служащих);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гаражей, стоянок автомобилей в зависимости от этажности (в квадратных метрах, 1 квадратных метр на количество машино-мест);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расстояние от стоянок временного хранения автомобилей до жилых и обще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ственных зданий и сооружений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- расстояние от гаражных сооружений и открытых стоянок участков школ, детских садов и лечебных учреждений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автозаправочной станции (в гектарах, 1 гектар в зависимости от количества раздаточных колонок);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станции технического обслуживания транспортных средств (в гектарах, 1 гектар в зависимости от количества постов);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иные расчетные показатели необходимого числа сооружений для хранения и обслуживания транспортных средств,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6) расчетные показатели потребности в электро - тепло - водо - и газо-снабжении и обеспечении объектами </w:t>
      </w:r>
      <w:hyperlink r:id="rId7" w:tooltip="Коммунальное хозяйство" w:history="1">
        <w:r w:rsidRPr="00CE7106">
          <w:rPr>
            <w:rFonts w:ascii="Times New Roman" w:eastAsia="Times New Roman" w:hAnsi="Times New Roman" w:cs="Times New Roman"/>
            <w:sz w:val="28"/>
            <w:szCs w:val="28"/>
          </w:rPr>
          <w:t>коммунального хозяйства</w:t>
        </w:r>
      </w:hyperlink>
      <w:r w:rsidRPr="00CE71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укрупненные показатели электропотребления (в кВт-ч/ год, удельная расчетная нагрузка на 1 человека);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укрупненные показатели теплопотребления (в ккал/час/м2 или Вт/м2, удельный расход тепла на расчетный период);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укрупненные показатели водопотребления и водоотведения (л/сут, удельный расход на 1 жителя (среднесут.) за год);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укрупненные показатели газопотребления (МДж или ккал, метров кубических в год на 1 человека);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для размещения понизительных под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станций (в метрах квадратных);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для размещения котельных (в метрах квадратных);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для размещения очистных сооруже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ний (в гектарах);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для размещения газонаполнительных пунктов (в метрах квадратных);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накопления бытовых отходов (в килограммах или литрах, количество отходов на 1 жителя в год);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предприятий и сооружений по транс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портировке, обезвреживанию и переработке бытовых отходов (в гектарах, 1гектар на 1тыс. тонн в год);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- иные расчетные показатели потребности в электро - тепло - водо - и </w:t>
      </w:r>
      <w:hyperlink r:id="rId8" w:tooltip="Газоснабжение" w:history="1">
        <w:r w:rsidRPr="00CE7106">
          <w:rPr>
            <w:rFonts w:ascii="Times New Roman" w:eastAsia="Times New Roman" w:hAnsi="Times New Roman" w:cs="Times New Roman"/>
            <w:sz w:val="28"/>
            <w:szCs w:val="28"/>
          </w:rPr>
          <w:t>газоснабжении</w:t>
        </w:r>
      </w:hyperlink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обеспечении объектами коммунального хозяйства,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2.3. Местные нормативы градостроительного проектирования, содержащие минимальные расчетные показатели обеспечения благоприятных условий жизнедеятельности человека не могут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Порядок подготовки и утверждения местных нормативов.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3.1. Администрацией сельского поселения принимается постановление о подготовке местных нормативов градостроительного проектирования.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3.2. В постановлении администрации сельского поселения о подготовке местных нормативов градостроительного проекти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рования наряду с другими сведениями должны содержаться: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1)  перечень расчетных показателей, которые должны быть отражены в местных нормативах градостроительного проектирования или ссылка на техническое задание по разработке проекта местных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2)  указания на сроки разработки проекта местных нормативов градострои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3)  указания о стоимости работ по разработке проекта местных нормативов градостроительного проектирования.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3.3. Администрация сельского поселения осуществляет организацию работ по разработке проекта местных нормативов градостроительного проектирования, в том числе: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1) организует и проводит торги на право заключения договора на подготовку проекта местных нормативов градостроительного проектирования,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2) готовит и утверждает техническое задание на разработку проекта местных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3) выступает в качестве заказчика работ по договору на разработку проекта местных нормативов градостроительного проектирования.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3.4. Основные требования к оформлению и содержанию проекта местных нормативов градостроительного проектирования содержатся в техническом задании на разработку проекта местных нормативов градостроительного проектирования, разработанных в соответствии с настоящим положением.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3.5. С организацией - победителем торгов заключается контракт (договор) на разработку местных нормативов градостроительного проектирования.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3.6. Организация, осуществляющая разработку местных нормативов градостроительного проектирования, может привлекать для выполнения отдельных видов работ проектные, научно-исследовательские институты, экспертные учреждения и другие органы и организации.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3.7. Разработанный, в соответствии с техническим заданием, проект местных нормативов градостроительного проектирования согласовывается разработчиком с администрацией сельского поселения, администрацией муниципального образования Саракташский район Оренбургской области (далее – администрация района), другими федеральными надзорными органами и муниципальными организациями и службами, заинтересованными в принятии указанных нормативов.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3.8. Перечень согласующих организаций и органов определяется администрацией сельского поселения совместно с отделом по вопросам ар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хитектуры, градостроительства и </w:t>
      </w:r>
      <w:hyperlink r:id="rId9" w:tooltip="Жилищно-коммунальные хозяйства" w:history="1">
        <w:r w:rsidRPr="00CE7106">
          <w:rPr>
            <w:rFonts w:ascii="Times New Roman" w:eastAsia="Times New Roman" w:hAnsi="Times New Roman" w:cs="Times New Roman"/>
            <w:sz w:val="28"/>
            <w:szCs w:val="28"/>
          </w:rPr>
          <w:t>ЖКХ</w:t>
        </w:r>
      </w:hyperlink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в ходе подготовки технического задания, в соответствии с требованиями настоящего Положения, законодательных и иных нормативных правовых актов Российской Федерации, Оренбургской области, Саракташского района, сельского поселения. 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3.9. После получения всех необходимых согласований и положительных заключений проект местных нормативов градостроительного проектирования представляются на рассмотрение главе сельского поселения.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3.10. Глава сельского поселения, с учетом предоставленного проекта местных нормативов градостроительного проектирования и материалов по их согласованию, не более чем за 30 (тридцать) дней, принимает решение о направлении проекта на утверждение в Совет депутатов сельского поселения, или об отклонении такого проекта и направлении его на доработку.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3.11. Решение об утверждении местных нормативов градостроительного проектирования принимает Совет депутатов сельского поселения.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Утверждение местных нормативов градостроительного проектирования осуществляется с учетом особенностей населенных пунктов в границах сельского поселения.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3.12. Утвержденные Советом депутатов сельского поселения местные нормативы градостроительного проектирования подлежат обнародованию в порядке, установленном для нормативных правовых актов сельского поселения, и размещаются на официальном сайте сельского поселения в сети Интернет.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3.13. Утвержденные местные нормативы градостроительного проектирования подлежат учету в реестре нормативов градостроительного проектирования сельского поселения.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3.14. В случае передачи своих полномочий, при исполнении которых необходим учет данных нормативов, администрация сельского поселения на безвозмездной основе передает копии (на бумажном и в электронном виде) местные нормативы градостроительного проектирования исполняющей стороне.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3.15. Внесение изменений в местные нормативы градостроительного проектирования осуществляется в порядке, предусмотренном настоящим Положением, а также в порядке установленным для внесения изменений в нормативно правовые актов органов местного самоуправления сельского поселения.</w:t>
      </w:r>
    </w:p>
    <w:p w:rsidR="002E413B" w:rsidRPr="00CE7106" w:rsidRDefault="002E413B" w:rsidP="002E413B">
      <w:pPr>
        <w:rPr>
          <w:rFonts w:ascii="Times New Roman" w:hAnsi="Times New Roman" w:cs="Times New Roman"/>
        </w:rPr>
      </w:pPr>
    </w:p>
    <w:p w:rsidR="00EA3395" w:rsidRPr="00EA3395" w:rsidRDefault="00EA3395" w:rsidP="00EA33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A3395" w:rsidRPr="00EA3395" w:rsidRDefault="00EA3395" w:rsidP="00EA3395">
      <w:pPr>
        <w:rPr>
          <w:rFonts w:ascii="Times New Roman" w:hAnsi="Times New Roman" w:cs="Times New Roman"/>
          <w:sz w:val="18"/>
        </w:rPr>
      </w:pPr>
    </w:p>
    <w:sectPr w:rsidR="00EA3395" w:rsidRPr="00EA3395" w:rsidSect="0062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95"/>
    <w:rsid w:val="0009107F"/>
    <w:rsid w:val="00093007"/>
    <w:rsid w:val="002E413B"/>
    <w:rsid w:val="00546B77"/>
    <w:rsid w:val="00623D93"/>
    <w:rsid w:val="008E30EA"/>
    <w:rsid w:val="00BC126D"/>
    <w:rsid w:val="00EA3395"/>
    <w:rsid w:val="00ED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58001-E189-4EBC-9E2A-CA14D319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1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7B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gazosnabzh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kommunalmznoe_hozyajst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ndividualmznij_transpo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organi_mestnogo_samoupravleniy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andia.ru/text/category/zhilishno_kommunalmznie_hozyaj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3207</Words>
  <Characters>18283</Characters>
  <Application>Microsoft Office Word</Application>
  <DocSecurity>0</DocSecurity>
  <Lines>152</Lines>
  <Paragraphs>42</Paragraphs>
  <ScaleCrop>false</ScaleCrop>
  <Company/>
  <LinksUpToDate>false</LinksUpToDate>
  <CharactersWithSpaces>21448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2021-07-09T03:46:00Z</dcterms:created>
  <dcterms:modified xsi:type="dcterms:W3CDTF">2021-07-09T03:46:00Z</dcterms:modified>
</cp:coreProperties>
</file>