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jc w:val="center"/>
        <w:tblBorders>
          <w:insideH w:val="single" w:sz="4" w:space="0" w:color="auto"/>
        </w:tblBorders>
        <w:tblLook w:val="01E0" w:firstRow="1" w:lastRow="1" w:firstColumn="1" w:lastColumn="1" w:noHBand="0" w:noVBand="0"/>
      </w:tblPr>
      <w:tblGrid>
        <w:gridCol w:w="3388"/>
        <w:gridCol w:w="3037"/>
        <w:gridCol w:w="3532"/>
      </w:tblGrid>
      <w:tr w:rsidR="00524FE1" w:rsidRPr="004024DD" w:rsidTr="00524FE1">
        <w:trPr>
          <w:trHeight w:val="989"/>
          <w:jc w:val="center"/>
        </w:trPr>
        <w:tc>
          <w:tcPr>
            <w:tcW w:w="3388" w:type="dxa"/>
          </w:tcPr>
          <w:p w:rsidR="00524FE1" w:rsidRPr="004024DD" w:rsidRDefault="00524FE1" w:rsidP="00524FE1">
            <w:pPr>
              <w:adjustRightInd w:val="0"/>
              <w:ind w:right="-142"/>
              <w:jc w:val="center"/>
              <w:rPr>
                <w:b/>
                <w:sz w:val="32"/>
                <w:szCs w:val="32"/>
              </w:rPr>
            </w:pPr>
            <w:bookmarkStart w:id="0" w:name="_GoBack"/>
            <w:bookmarkEnd w:id="0"/>
          </w:p>
        </w:tc>
        <w:tc>
          <w:tcPr>
            <w:tcW w:w="3037" w:type="dxa"/>
            <w:hideMark/>
          </w:tcPr>
          <w:p w:rsidR="00524FE1" w:rsidRPr="004024DD" w:rsidRDefault="00524FE1" w:rsidP="00524FE1">
            <w:pPr>
              <w:adjustRightInd w:val="0"/>
              <w:ind w:right="-142"/>
              <w:jc w:val="center"/>
              <w:rPr>
                <w:b/>
                <w:sz w:val="32"/>
                <w:szCs w:val="32"/>
              </w:rPr>
            </w:pPr>
            <w:r w:rsidRPr="007777D1">
              <w:rPr>
                <w:noProof/>
                <w:sz w:val="32"/>
                <w:szCs w:val="32"/>
              </w:rPr>
              <w:drawing>
                <wp:inline distT="0" distB="0" distL="0" distR="0">
                  <wp:extent cx="619125" cy="962025"/>
                  <wp:effectExtent l="19050" t="0" r="9525" b="0"/>
                  <wp:docPr id="225"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619125" cy="962025"/>
                          </a:xfrm>
                          <a:prstGeom prst="rect">
                            <a:avLst/>
                          </a:prstGeom>
                          <a:noFill/>
                          <a:ln w="9525">
                            <a:noFill/>
                            <a:miter lim="800000"/>
                            <a:headEnd/>
                            <a:tailEnd/>
                          </a:ln>
                        </pic:spPr>
                      </pic:pic>
                    </a:graphicData>
                  </a:graphic>
                </wp:inline>
              </w:drawing>
            </w:r>
          </w:p>
        </w:tc>
        <w:tc>
          <w:tcPr>
            <w:tcW w:w="3532" w:type="dxa"/>
          </w:tcPr>
          <w:p w:rsidR="00524FE1" w:rsidRPr="004024DD" w:rsidRDefault="00524FE1" w:rsidP="00524FE1">
            <w:pPr>
              <w:ind w:right="-142"/>
              <w:jc w:val="right"/>
              <w:rPr>
                <w:b/>
                <w:sz w:val="32"/>
                <w:szCs w:val="32"/>
                <w:u w:val="single"/>
              </w:rPr>
            </w:pPr>
          </w:p>
          <w:p w:rsidR="00524FE1" w:rsidRPr="004024DD" w:rsidRDefault="00524FE1" w:rsidP="00524FE1">
            <w:pPr>
              <w:adjustRightInd w:val="0"/>
              <w:jc w:val="right"/>
              <w:rPr>
                <w:b/>
                <w:sz w:val="32"/>
                <w:szCs w:val="32"/>
                <w:u w:val="single"/>
              </w:rPr>
            </w:pPr>
          </w:p>
        </w:tc>
      </w:tr>
    </w:tbl>
    <w:p w:rsidR="00524FE1" w:rsidRPr="004024DD" w:rsidRDefault="00524FE1" w:rsidP="00524FE1">
      <w:pPr>
        <w:ind w:right="-284"/>
        <w:rPr>
          <w:b/>
          <w:caps/>
          <w:sz w:val="32"/>
          <w:szCs w:val="32"/>
        </w:rPr>
      </w:pPr>
    </w:p>
    <w:p w:rsidR="00524FE1" w:rsidRPr="004024DD" w:rsidRDefault="00524FE1" w:rsidP="00524FE1">
      <w:pPr>
        <w:keepNext/>
        <w:overflowPunct w:val="0"/>
        <w:jc w:val="center"/>
        <w:textAlignment w:val="baseline"/>
        <w:outlineLvl w:val="1"/>
        <w:rPr>
          <w:b/>
          <w:bCs/>
          <w:sz w:val="32"/>
          <w:szCs w:val="32"/>
        </w:rPr>
      </w:pPr>
      <w:r w:rsidRPr="004024DD">
        <w:rPr>
          <w:b/>
          <w:bCs/>
          <w:sz w:val="32"/>
          <w:szCs w:val="32"/>
        </w:rPr>
        <w:t xml:space="preserve">АДМИНИСТРАЦИЯ </w:t>
      </w:r>
      <w:r>
        <w:rPr>
          <w:b/>
          <w:bCs/>
          <w:sz w:val="32"/>
          <w:szCs w:val="32"/>
        </w:rPr>
        <w:t>БУРУНЧИНСКОГО</w:t>
      </w:r>
      <w:r w:rsidRPr="004024DD">
        <w:rPr>
          <w:b/>
          <w:bCs/>
          <w:sz w:val="32"/>
          <w:szCs w:val="32"/>
        </w:rPr>
        <w:t xml:space="preserve"> СЕЛЬСОВЕТА САРАКТАШСКОГО РАЙОНА ОРЕНБУРГСКОЙ ОБЛАСТИ</w:t>
      </w:r>
    </w:p>
    <w:p w:rsidR="00524FE1" w:rsidRPr="004024DD" w:rsidRDefault="00524FE1" w:rsidP="00524FE1">
      <w:pPr>
        <w:jc w:val="center"/>
        <w:rPr>
          <w:b/>
          <w:sz w:val="34"/>
          <w:szCs w:val="34"/>
        </w:rPr>
      </w:pPr>
    </w:p>
    <w:p w:rsidR="00524FE1" w:rsidRPr="004024DD" w:rsidRDefault="00524FE1" w:rsidP="00524FE1">
      <w:pPr>
        <w:jc w:val="center"/>
        <w:rPr>
          <w:b/>
          <w:sz w:val="34"/>
          <w:szCs w:val="34"/>
        </w:rPr>
      </w:pPr>
      <w:r w:rsidRPr="004024DD">
        <w:rPr>
          <w:b/>
          <w:sz w:val="34"/>
          <w:szCs w:val="34"/>
        </w:rPr>
        <w:t>П О С Т А Н О В Л Е Н И Е</w:t>
      </w:r>
    </w:p>
    <w:p w:rsidR="00524FE1" w:rsidRDefault="00524FE1" w:rsidP="00524FE1">
      <w:pPr>
        <w:jc w:val="center"/>
        <w:rPr>
          <w:b/>
          <w:sz w:val="32"/>
          <w:szCs w:val="32"/>
        </w:rPr>
      </w:pPr>
      <w:r w:rsidRPr="004024DD">
        <w:rPr>
          <w:b/>
          <w:sz w:val="32"/>
          <w:szCs w:val="32"/>
        </w:rPr>
        <w:t>_________________________________________________________</w:t>
      </w:r>
    </w:p>
    <w:p w:rsidR="00524FE1" w:rsidRPr="00945957" w:rsidRDefault="00524FE1" w:rsidP="00524FE1">
      <w:pPr>
        <w:jc w:val="center"/>
        <w:rPr>
          <w:b/>
          <w:sz w:val="28"/>
          <w:szCs w:val="28"/>
        </w:rPr>
      </w:pPr>
      <w:r>
        <w:rPr>
          <w:sz w:val="28"/>
          <w:szCs w:val="28"/>
        </w:rPr>
        <w:t>2</w:t>
      </w:r>
      <w:r w:rsidRPr="004024DD">
        <w:rPr>
          <w:sz w:val="28"/>
          <w:szCs w:val="28"/>
        </w:rPr>
        <w:t xml:space="preserve">5.05.2023 </w:t>
      </w:r>
      <w:r w:rsidRPr="004024DD">
        <w:rPr>
          <w:sz w:val="28"/>
          <w:szCs w:val="28"/>
        </w:rPr>
        <w:tab/>
      </w:r>
      <w:r w:rsidRPr="004024DD">
        <w:rPr>
          <w:sz w:val="28"/>
          <w:szCs w:val="28"/>
        </w:rPr>
        <w:tab/>
      </w:r>
      <w:r w:rsidRPr="004024DD">
        <w:rPr>
          <w:sz w:val="28"/>
          <w:szCs w:val="28"/>
        </w:rPr>
        <w:tab/>
        <w:t xml:space="preserve">  </w:t>
      </w:r>
      <w:r>
        <w:rPr>
          <w:sz w:val="28"/>
          <w:szCs w:val="28"/>
        </w:rPr>
        <w:t xml:space="preserve">     </w:t>
      </w:r>
      <w:r w:rsidRPr="004024DD">
        <w:rPr>
          <w:sz w:val="28"/>
          <w:szCs w:val="28"/>
        </w:rPr>
        <w:tab/>
        <w:t xml:space="preserve">с. </w:t>
      </w:r>
      <w:proofErr w:type="spellStart"/>
      <w:r>
        <w:rPr>
          <w:sz w:val="28"/>
          <w:szCs w:val="28"/>
        </w:rPr>
        <w:t>Бурунча</w:t>
      </w:r>
      <w:proofErr w:type="spellEnd"/>
      <w:r w:rsidRPr="004024DD">
        <w:rPr>
          <w:sz w:val="28"/>
          <w:szCs w:val="28"/>
        </w:rPr>
        <w:tab/>
      </w:r>
      <w:r w:rsidRPr="004024DD">
        <w:rPr>
          <w:sz w:val="28"/>
          <w:szCs w:val="28"/>
        </w:rPr>
        <w:tab/>
      </w:r>
      <w:r w:rsidRPr="004024DD">
        <w:rPr>
          <w:sz w:val="28"/>
          <w:szCs w:val="28"/>
        </w:rPr>
        <w:tab/>
        <w:t xml:space="preserve">        №</w:t>
      </w:r>
      <w:r>
        <w:rPr>
          <w:sz w:val="28"/>
          <w:szCs w:val="28"/>
        </w:rPr>
        <w:t xml:space="preserve"> 18</w:t>
      </w:r>
      <w:r w:rsidRPr="004024DD">
        <w:rPr>
          <w:sz w:val="28"/>
          <w:szCs w:val="28"/>
        </w:rPr>
        <w:t>-п</w:t>
      </w:r>
    </w:p>
    <w:p w:rsidR="00524FE1" w:rsidRDefault="00524FE1" w:rsidP="00524FE1">
      <w:pPr>
        <w:jc w:val="center"/>
        <w:rPr>
          <w:sz w:val="28"/>
          <w:szCs w:val="28"/>
        </w:rPr>
      </w:pPr>
    </w:p>
    <w:p w:rsidR="00524FE1" w:rsidRPr="00524FE1" w:rsidRDefault="00524FE1" w:rsidP="00524FE1">
      <w:pPr>
        <w:autoSpaceDE w:val="0"/>
        <w:autoSpaceDN w:val="0"/>
        <w:adjustRightInd w:val="0"/>
        <w:ind w:firstLine="567"/>
        <w:jc w:val="center"/>
        <w:rPr>
          <w:b/>
          <w:sz w:val="28"/>
          <w:szCs w:val="28"/>
        </w:rPr>
      </w:pPr>
      <w:r w:rsidRPr="00524FE1">
        <w:rPr>
          <w:b/>
          <w:sz w:val="28"/>
          <w:szCs w:val="28"/>
        </w:rPr>
        <w:t xml:space="preserve">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w:t>
      </w:r>
      <w:proofErr w:type="spellStart"/>
      <w:r w:rsidRPr="00524FE1">
        <w:rPr>
          <w:b/>
          <w:sz w:val="28"/>
          <w:szCs w:val="28"/>
        </w:rPr>
        <w:t>Бурунчинский</w:t>
      </w:r>
      <w:proofErr w:type="spellEnd"/>
      <w:r w:rsidRPr="00524FE1">
        <w:rPr>
          <w:b/>
          <w:sz w:val="28"/>
          <w:szCs w:val="28"/>
        </w:rPr>
        <w:t xml:space="preserve"> сельсовет </w:t>
      </w:r>
      <w:proofErr w:type="spellStart"/>
      <w:r w:rsidRPr="00524FE1">
        <w:rPr>
          <w:b/>
          <w:sz w:val="28"/>
          <w:szCs w:val="28"/>
        </w:rPr>
        <w:t>Саракташского</w:t>
      </w:r>
      <w:proofErr w:type="spellEnd"/>
      <w:r w:rsidRPr="00524FE1">
        <w:rPr>
          <w:b/>
          <w:sz w:val="28"/>
          <w:szCs w:val="28"/>
        </w:rPr>
        <w:t xml:space="preserve"> района Оренбургской области.</w:t>
      </w:r>
    </w:p>
    <w:p w:rsidR="00524FE1" w:rsidRPr="004024DD" w:rsidRDefault="00524FE1" w:rsidP="00524FE1">
      <w:pPr>
        <w:jc w:val="center"/>
        <w:rPr>
          <w:sz w:val="28"/>
          <w:szCs w:val="28"/>
        </w:rPr>
      </w:pPr>
    </w:p>
    <w:p w:rsidR="00524FE1" w:rsidRPr="004024DD" w:rsidRDefault="00524FE1" w:rsidP="00524FE1">
      <w:pPr>
        <w:autoSpaceDE w:val="0"/>
        <w:autoSpaceDN w:val="0"/>
        <w:adjustRightInd w:val="0"/>
        <w:ind w:firstLine="567"/>
        <w:jc w:val="both"/>
        <w:rPr>
          <w:sz w:val="28"/>
          <w:szCs w:val="28"/>
        </w:rPr>
      </w:pPr>
      <w:r w:rsidRPr="004024DD">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w:t>
      </w:r>
      <w:proofErr w:type="spellStart"/>
      <w:r w:rsidRPr="004024DD">
        <w:rPr>
          <w:sz w:val="28"/>
          <w:szCs w:val="28"/>
        </w:rPr>
        <w:t>пр</w:t>
      </w:r>
      <w:proofErr w:type="spellEnd"/>
      <w:r w:rsidRPr="004024DD">
        <w:rPr>
          <w:sz w:val="28"/>
          <w:szCs w:val="28"/>
        </w:rPr>
        <w:t xml:space="preserve">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proofErr w:type="spellStart"/>
      <w:r>
        <w:rPr>
          <w:sz w:val="28"/>
          <w:szCs w:val="28"/>
        </w:rPr>
        <w:t>Бурунчинский</w:t>
      </w:r>
      <w:proofErr w:type="spellEnd"/>
      <w:r w:rsidRPr="004024DD">
        <w:rPr>
          <w:sz w:val="28"/>
          <w:szCs w:val="28"/>
        </w:rPr>
        <w:t xml:space="preserve"> сельсовет </w:t>
      </w:r>
      <w:r w:rsidRPr="00D97C52">
        <w:rPr>
          <w:sz w:val="28"/>
          <w:szCs w:val="28"/>
        </w:rPr>
        <w:t>Утвердить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w:t>
      </w:r>
      <w:r w:rsidRPr="00524FE1">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4024DD">
        <w:rPr>
          <w:sz w:val="28"/>
          <w:szCs w:val="28"/>
        </w:rPr>
        <w:t xml:space="preserve">» на территории муниципального образования </w:t>
      </w:r>
      <w:proofErr w:type="spellStart"/>
      <w:r>
        <w:rPr>
          <w:sz w:val="28"/>
          <w:szCs w:val="28"/>
        </w:rPr>
        <w:t>Бурунчинский</w:t>
      </w:r>
      <w:proofErr w:type="spellEnd"/>
      <w:r w:rsidRPr="004024DD">
        <w:rPr>
          <w:sz w:val="28"/>
          <w:szCs w:val="28"/>
        </w:rPr>
        <w:t xml:space="preserve"> сельсовет </w:t>
      </w:r>
      <w:proofErr w:type="spellStart"/>
      <w:r w:rsidRPr="004024DD">
        <w:rPr>
          <w:sz w:val="28"/>
          <w:szCs w:val="28"/>
        </w:rPr>
        <w:t>Саракташского</w:t>
      </w:r>
      <w:proofErr w:type="spellEnd"/>
      <w:r w:rsidRPr="004024DD">
        <w:rPr>
          <w:sz w:val="28"/>
          <w:szCs w:val="28"/>
        </w:rPr>
        <w:t xml:space="preserve"> района Оренбургской области»</w:t>
      </w:r>
      <w:r>
        <w:rPr>
          <w:sz w:val="28"/>
          <w:szCs w:val="28"/>
        </w:rPr>
        <w:t>.</w:t>
      </w:r>
    </w:p>
    <w:p w:rsidR="00524FE1" w:rsidRPr="004024DD" w:rsidRDefault="00524FE1" w:rsidP="00524FE1">
      <w:pPr>
        <w:ind w:firstLine="708"/>
        <w:jc w:val="both"/>
        <w:rPr>
          <w:sz w:val="28"/>
          <w:szCs w:val="28"/>
        </w:rPr>
      </w:pPr>
      <w:r w:rsidRPr="004024DD">
        <w:rPr>
          <w:sz w:val="28"/>
          <w:szCs w:val="28"/>
        </w:rPr>
        <w:t xml:space="preserve"> 2. Настоящее постановление вступает в силу после его официального опубликования, а также подлежит размещению на официальном сайте администрации </w:t>
      </w:r>
      <w:proofErr w:type="spellStart"/>
      <w:r>
        <w:rPr>
          <w:sz w:val="28"/>
          <w:szCs w:val="28"/>
        </w:rPr>
        <w:t>Бурунчинского</w:t>
      </w:r>
      <w:proofErr w:type="spellEnd"/>
      <w:r w:rsidRPr="004024DD">
        <w:rPr>
          <w:sz w:val="28"/>
          <w:szCs w:val="28"/>
        </w:rPr>
        <w:t xml:space="preserve"> сельсовета.</w:t>
      </w:r>
    </w:p>
    <w:p w:rsidR="00524FE1" w:rsidRPr="004024DD" w:rsidRDefault="00524FE1" w:rsidP="00524FE1">
      <w:pPr>
        <w:shd w:val="clear" w:color="auto" w:fill="FFFFFF"/>
        <w:ind w:firstLine="720"/>
        <w:jc w:val="both"/>
        <w:rPr>
          <w:sz w:val="28"/>
          <w:szCs w:val="28"/>
        </w:rPr>
      </w:pPr>
      <w:r w:rsidRPr="004024DD">
        <w:rPr>
          <w:sz w:val="28"/>
          <w:szCs w:val="28"/>
        </w:rPr>
        <w:t>3. Контроль за исполнением настоящего постановления оставляю за собой.</w:t>
      </w:r>
    </w:p>
    <w:p w:rsidR="00524FE1" w:rsidRPr="004024DD" w:rsidRDefault="00524FE1" w:rsidP="00524FE1">
      <w:pPr>
        <w:shd w:val="clear" w:color="auto" w:fill="FFFFFF"/>
        <w:ind w:firstLine="720"/>
        <w:jc w:val="both"/>
        <w:rPr>
          <w:sz w:val="28"/>
          <w:szCs w:val="28"/>
        </w:rPr>
      </w:pPr>
    </w:p>
    <w:p w:rsidR="00524FE1" w:rsidRPr="004024DD" w:rsidRDefault="00524FE1" w:rsidP="00524FE1">
      <w:pPr>
        <w:shd w:val="clear" w:color="auto" w:fill="FFFFFF"/>
        <w:ind w:firstLine="720"/>
        <w:jc w:val="both"/>
        <w:rPr>
          <w:sz w:val="28"/>
          <w:szCs w:val="28"/>
        </w:rPr>
      </w:pPr>
    </w:p>
    <w:p w:rsidR="00524FE1" w:rsidRPr="004024DD" w:rsidRDefault="00524FE1" w:rsidP="00524FE1">
      <w:pPr>
        <w:ind w:right="328"/>
        <w:jc w:val="both"/>
        <w:rPr>
          <w:sz w:val="28"/>
          <w:szCs w:val="28"/>
        </w:rPr>
      </w:pPr>
      <w:r w:rsidRPr="004024DD">
        <w:rPr>
          <w:sz w:val="28"/>
          <w:szCs w:val="28"/>
        </w:rPr>
        <w:t xml:space="preserve">Глава муниципального образования                           </w:t>
      </w:r>
      <w:r>
        <w:rPr>
          <w:sz w:val="28"/>
          <w:szCs w:val="28"/>
        </w:rPr>
        <w:t xml:space="preserve">                    </w:t>
      </w:r>
      <w:r w:rsidRPr="004024DD">
        <w:rPr>
          <w:sz w:val="28"/>
          <w:szCs w:val="28"/>
        </w:rPr>
        <w:t xml:space="preserve">            А.</w:t>
      </w:r>
      <w:r>
        <w:rPr>
          <w:sz w:val="28"/>
          <w:szCs w:val="28"/>
        </w:rPr>
        <w:t>Н. Логинов</w:t>
      </w:r>
    </w:p>
    <w:p w:rsidR="00524FE1" w:rsidRPr="004024DD" w:rsidRDefault="00524FE1" w:rsidP="00524FE1">
      <w:pPr>
        <w:ind w:right="328"/>
        <w:jc w:val="both"/>
        <w:rPr>
          <w:sz w:val="28"/>
          <w:szCs w:val="28"/>
        </w:rPr>
      </w:pPr>
    </w:p>
    <w:p w:rsidR="00524FE1" w:rsidRPr="004024DD" w:rsidRDefault="00524FE1" w:rsidP="00524FE1">
      <w:pPr>
        <w:jc w:val="both"/>
        <w:rPr>
          <w:sz w:val="28"/>
          <w:szCs w:val="28"/>
        </w:rPr>
      </w:pPr>
      <w:r w:rsidRPr="004024DD">
        <w:rPr>
          <w:sz w:val="28"/>
          <w:szCs w:val="28"/>
        </w:rPr>
        <w:t xml:space="preserve">Разослано: администрация </w:t>
      </w:r>
      <w:proofErr w:type="spellStart"/>
      <w:r w:rsidRPr="004024DD">
        <w:rPr>
          <w:sz w:val="28"/>
          <w:szCs w:val="28"/>
        </w:rPr>
        <w:t>Саракташского</w:t>
      </w:r>
      <w:proofErr w:type="spellEnd"/>
      <w:r w:rsidRPr="004024DD">
        <w:rPr>
          <w:sz w:val="28"/>
          <w:szCs w:val="28"/>
        </w:rPr>
        <w:t xml:space="preserve"> района, прокуратура </w:t>
      </w:r>
      <w:proofErr w:type="spellStart"/>
      <w:r w:rsidRPr="004024DD">
        <w:rPr>
          <w:sz w:val="28"/>
          <w:szCs w:val="28"/>
        </w:rPr>
        <w:t>Саракташского</w:t>
      </w:r>
      <w:proofErr w:type="spellEnd"/>
      <w:r w:rsidRPr="004024DD">
        <w:rPr>
          <w:sz w:val="28"/>
          <w:szCs w:val="28"/>
        </w:rPr>
        <w:t xml:space="preserve"> района, в дело</w:t>
      </w:r>
    </w:p>
    <w:p w:rsidR="00524FE1" w:rsidRPr="00763DAA" w:rsidRDefault="00524FE1" w:rsidP="00524FE1">
      <w:pPr>
        <w:pStyle w:val="ConsPlusNormal"/>
        <w:jc w:val="right"/>
        <w:rPr>
          <w:rFonts w:ascii="Times New Roman" w:hAnsi="Times New Roman"/>
          <w:sz w:val="28"/>
          <w:szCs w:val="28"/>
        </w:rPr>
      </w:pPr>
      <w:r w:rsidRPr="00763DAA">
        <w:rPr>
          <w:rFonts w:ascii="Times New Roman" w:hAnsi="Times New Roman"/>
          <w:sz w:val="28"/>
          <w:szCs w:val="28"/>
        </w:rPr>
        <w:t>Приложение №1</w:t>
      </w:r>
    </w:p>
    <w:p w:rsidR="00524FE1" w:rsidRPr="00763DAA" w:rsidRDefault="00524FE1" w:rsidP="00524FE1">
      <w:pPr>
        <w:pStyle w:val="ConsPlusNormal"/>
        <w:jc w:val="right"/>
        <w:rPr>
          <w:rFonts w:ascii="Times New Roman" w:hAnsi="Times New Roman"/>
          <w:sz w:val="28"/>
          <w:szCs w:val="28"/>
        </w:rPr>
      </w:pPr>
      <w:r w:rsidRPr="00763DAA">
        <w:rPr>
          <w:rFonts w:ascii="Times New Roman" w:hAnsi="Times New Roman"/>
          <w:sz w:val="28"/>
          <w:szCs w:val="28"/>
        </w:rPr>
        <w:t>к постановлению</w:t>
      </w:r>
    </w:p>
    <w:p w:rsidR="00524FE1" w:rsidRPr="00763DAA" w:rsidRDefault="00524FE1" w:rsidP="00524FE1">
      <w:pPr>
        <w:pStyle w:val="ConsPlusNormal"/>
        <w:jc w:val="right"/>
        <w:rPr>
          <w:rFonts w:ascii="Times New Roman" w:hAnsi="Times New Roman"/>
          <w:sz w:val="28"/>
          <w:szCs w:val="28"/>
        </w:rPr>
      </w:pPr>
      <w:r w:rsidRPr="00763DAA">
        <w:rPr>
          <w:rFonts w:ascii="Times New Roman" w:hAnsi="Times New Roman"/>
          <w:sz w:val="28"/>
          <w:szCs w:val="28"/>
        </w:rPr>
        <w:t xml:space="preserve">администрации </w:t>
      </w:r>
      <w:proofErr w:type="spellStart"/>
      <w:r>
        <w:rPr>
          <w:rFonts w:ascii="Times New Roman" w:hAnsi="Times New Roman"/>
          <w:sz w:val="28"/>
          <w:szCs w:val="28"/>
        </w:rPr>
        <w:t>Бурунчинского</w:t>
      </w:r>
      <w:proofErr w:type="spellEnd"/>
      <w:r w:rsidRPr="00763DAA">
        <w:rPr>
          <w:rFonts w:ascii="Times New Roman" w:hAnsi="Times New Roman"/>
          <w:sz w:val="28"/>
          <w:szCs w:val="28"/>
        </w:rPr>
        <w:t xml:space="preserve"> сельсовета </w:t>
      </w:r>
    </w:p>
    <w:p w:rsidR="00524FE1" w:rsidRPr="00763DAA" w:rsidRDefault="00524FE1" w:rsidP="00524FE1">
      <w:pPr>
        <w:pStyle w:val="ConsPlusNormal"/>
        <w:jc w:val="right"/>
        <w:rPr>
          <w:rFonts w:ascii="Times New Roman" w:hAnsi="Times New Roman"/>
          <w:sz w:val="28"/>
          <w:szCs w:val="28"/>
        </w:rPr>
      </w:pPr>
      <w:r>
        <w:rPr>
          <w:rFonts w:ascii="Times New Roman" w:hAnsi="Times New Roman"/>
          <w:sz w:val="28"/>
          <w:szCs w:val="28"/>
        </w:rPr>
        <w:t>от 25.05.2023 г. №18</w:t>
      </w:r>
      <w:r w:rsidRPr="00763DAA">
        <w:rPr>
          <w:rFonts w:ascii="Times New Roman" w:hAnsi="Times New Roman"/>
          <w:sz w:val="28"/>
          <w:szCs w:val="28"/>
        </w:rPr>
        <w:t>-п</w:t>
      </w:r>
    </w:p>
    <w:p w:rsidR="00524FE1" w:rsidRDefault="00524FE1" w:rsidP="00524FE1">
      <w:pPr>
        <w:pStyle w:val="a9"/>
        <w:spacing w:before="7"/>
        <w:ind w:right="499" w:firstLine="709"/>
      </w:pP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Типовой административный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самоуправления</w:t>
      </w:r>
      <w:r w:rsidR="00524FE1">
        <w:t xml:space="preserve"> </w:t>
      </w:r>
      <w:proofErr w:type="spellStart"/>
      <w:r w:rsidR="00524FE1">
        <w:t>Бурунчинский</w:t>
      </w:r>
      <w:proofErr w:type="spellEnd"/>
      <w:r w:rsidR="00524FE1">
        <w:t xml:space="preserve"> сельсовет</w:t>
      </w:r>
    </w:p>
    <w:p w:rsidR="00091FCA" w:rsidRPr="0048793D" w:rsidRDefault="00091FCA" w:rsidP="0048793D">
      <w:pPr>
        <w:autoSpaceDE w:val="0"/>
        <w:autoSpaceDN w:val="0"/>
        <w:adjustRightInd w:val="0"/>
        <w:ind w:firstLine="567"/>
        <w:jc w:val="both"/>
      </w:pP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E955E4">
        <w:rPr>
          <w:rFonts w:ascii="Times New Roman" w:hAnsi="Times New Roman" w:cs="Times New Roman"/>
          <w:sz w:val="24"/>
          <w:szCs w:val="24"/>
        </w:rPr>
        <w:t>местного самоуправления</w:t>
      </w:r>
      <w:r w:rsidRPr="00E955E4">
        <w:rPr>
          <w:rFonts w:ascii="Times New Roman" w:hAnsi="Times New Roman" w:cs="Times New Roman"/>
          <w:sz w:val="24"/>
          <w:szCs w:val="24"/>
        </w:rPr>
        <w:t xml:space="preserve"> Оренбургской области (далее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891A48" w:rsidP="00891A48">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органом местного самоуправления </w:t>
      </w:r>
      <w:proofErr w:type="spellStart"/>
      <w:r w:rsidR="00524FE1">
        <w:rPr>
          <w:rFonts w:ascii="Times New Roman" w:hAnsi="Times New Roman" w:cs="Times New Roman"/>
          <w:sz w:val="24"/>
          <w:szCs w:val="24"/>
        </w:rPr>
        <w:t>Бурунчинский</w:t>
      </w:r>
      <w:proofErr w:type="spellEnd"/>
      <w:r w:rsidR="00524FE1">
        <w:rPr>
          <w:rFonts w:ascii="Times New Roman" w:hAnsi="Times New Roman" w:cs="Times New Roman"/>
          <w:sz w:val="24"/>
          <w:szCs w:val="24"/>
        </w:rPr>
        <w:t xml:space="preserve"> сельсовет</w:t>
      </w:r>
      <w:r w:rsidR="00091FCA" w:rsidRPr="0048793D">
        <w:rPr>
          <w:rFonts w:ascii="Times New Roman" w:hAnsi="Times New Roman" w:cs="Times New Roman"/>
          <w:sz w:val="24"/>
          <w:szCs w:val="24"/>
        </w:rPr>
        <w:t>.</w:t>
      </w:r>
    </w:p>
    <w:p w:rsidR="00C66D2C" w:rsidRDefault="00091FCA" w:rsidP="00C66D2C">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524FE1">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524FE1">
        <w:rPr>
          <w:rFonts w:ascii="Times New Roman" w:hAnsi="Times New Roman" w:cs="Times New Roman"/>
          <w:sz w:val="24"/>
          <w:szCs w:val="24"/>
        </w:rPr>
        <w:t>.</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w:t>
      </w:r>
      <w:r w:rsidR="00F93465" w:rsidRPr="00163BF7">
        <w:rPr>
          <w:rFonts w:ascii="Times New Roman" w:hAnsi="Times New Roman" w:cs="Times New Roman"/>
          <w:sz w:val="24"/>
          <w:szCs w:val="24"/>
          <w:lang w:eastAsia="ar-SA"/>
        </w:rPr>
        <w:lastRenderedPageBreak/>
        <w:t>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DC2629" w:rsidRPr="00500E34" w:rsidRDefault="00DC2629" w:rsidP="00125F3C">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w:t>
      </w:r>
      <w:r w:rsidR="00125F3C">
        <w:rPr>
          <w:rFonts w:ascii="Times New Roman" w:hAnsi="Times New Roman" w:cs="Times New Roman"/>
          <w:sz w:val="24"/>
          <w:szCs w:val="24"/>
        </w:rPr>
        <w:t xml:space="preserve">мационная система (при наличии) </w:t>
      </w:r>
      <w:proofErr w:type="spellStart"/>
      <w:r w:rsidR="00125F3C">
        <w:rPr>
          <w:rFonts w:ascii="Times New Roman" w:hAnsi="Times New Roman" w:cs="Times New Roman"/>
          <w:sz w:val="24"/>
          <w:szCs w:val="24"/>
        </w:rPr>
        <w:t>Госуслуги</w:t>
      </w:r>
      <w:proofErr w:type="spellEnd"/>
      <w:r w:rsidRPr="00500E34">
        <w:rPr>
          <w:rFonts w:ascii="Times New Roman" w:hAnsi="Times New Roman" w:cs="Times New Roman"/>
          <w:sz w:val="24"/>
          <w:szCs w:val="24"/>
        </w:rPr>
        <w:t xml:space="preserve">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 xml:space="preserve">разрешения на условно разрешенный вид использования земельного </w:t>
      </w:r>
      <w:r w:rsidR="00937455" w:rsidRPr="0048793D">
        <w:rPr>
          <w:rFonts w:ascii="Times New Roman" w:hAnsi="Times New Roman" w:cs="Times New Roman"/>
          <w:sz w:val="24"/>
          <w:szCs w:val="24"/>
        </w:rPr>
        <w:lastRenderedPageBreak/>
        <w:t>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lastRenderedPageBreak/>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125F3C" w:rsidRPr="00125F3C">
        <w:rPr>
          <w:rFonts w:ascii="Times New Roman" w:hAnsi="Times New Roman" w:cs="Times New Roman"/>
          <w:sz w:val="24"/>
          <w:szCs w:val="24"/>
        </w:rPr>
        <w:t>http://admburuncha.ru/</w:t>
      </w:r>
      <w:r w:rsidR="00125F3C">
        <w:rPr>
          <w:rFonts w:ascii="Times New Roman" w:hAnsi="Times New Roman" w:cs="Times New Roman"/>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xml:space="preserve"> Основаниями для отказа в приеме документов, необходимых для предоставления </w:t>
      </w:r>
      <w:r w:rsidR="00E305D9" w:rsidRPr="00442118">
        <w:rPr>
          <w:rFonts w:ascii="Times New Roman" w:hAnsi="Times New Roman" w:cs="Times New Roman"/>
          <w:sz w:val="24"/>
          <w:szCs w:val="24"/>
        </w:rPr>
        <w:lastRenderedPageBreak/>
        <w:t>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lastRenderedPageBreak/>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Требования к помещениям,в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lastRenderedPageBreak/>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lastRenderedPageBreak/>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w:t>
      </w:r>
      <w:r w:rsidRPr="0048793D">
        <w:rPr>
          <w:rFonts w:ascii="Times New Roman" w:hAnsi="Times New Roman" w:cs="Times New Roman"/>
          <w:sz w:val="24"/>
          <w:szCs w:val="24"/>
        </w:rPr>
        <w:lastRenderedPageBreak/>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w:t>
      </w:r>
      <w:r w:rsidRPr="009A080B">
        <w:rPr>
          <w:rFonts w:ascii="Times New Roman" w:hAnsi="Times New Roman" w:cs="Times New Roman"/>
          <w:sz w:val="24"/>
          <w:szCs w:val="24"/>
        </w:rPr>
        <w:lastRenderedPageBreak/>
        <w:t xml:space="preserve">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C752C7" w:rsidRDefault="00B5497D" w:rsidP="00B5497D">
      <w:pPr>
        <w:pStyle w:val="ConsPlusNormal"/>
        <w:jc w:val="center"/>
        <w:rPr>
          <w:rFonts w:ascii="Times New Roman" w:hAnsi="Times New Roman" w:cs="Times New Roman"/>
        </w:rPr>
      </w:pPr>
      <w:r w:rsidRPr="00C752C7">
        <w:rPr>
          <w:rFonts w:ascii="Times New Roman" w:hAnsi="Times New Roman" w:cs="Times New Roman"/>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lastRenderedPageBreak/>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w:t>
      </w:r>
      <w:r w:rsidRPr="00A40AD0">
        <w:lastRenderedPageBreak/>
        <w:t xml:space="preserve">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r w:rsidR="00125F3C">
        <w:rPr>
          <w:rFonts w:ascii="Times New Roman" w:hAnsi="Times New Roman" w:cs="Times New Roman"/>
          <w:sz w:val="24"/>
          <w:szCs w:val="24"/>
        </w:rPr>
        <w:t>предоставляется</w:t>
      </w:r>
      <w:r w:rsidRPr="00B5497D">
        <w:rPr>
          <w:rFonts w:ascii="Times New Roman" w:hAnsi="Times New Roman" w:cs="Times New Roman"/>
          <w:sz w:val="24"/>
          <w:szCs w:val="24"/>
        </w:rPr>
        <w:t xml:space="preserve"> по экстерриториальному принципу.</w:t>
      </w:r>
    </w:p>
    <w:p w:rsidR="00B5497D" w:rsidRPr="00B5497D" w:rsidRDefault="00B5497D" w:rsidP="00B5497D">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7F2093" w:rsidRDefault="007F2093" w:rsidP="00D2737D">
      <w:pPr>
        <w:ind w:firstLine="709"/>
        <w:jc w:val="both"/>
      </w:pP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условноразрешенный вид использования земельного участкаили</w:t>
      </w:r>
      <w:r w:rsidR="007F2093" w:rsidRPr="00442118">
        <w:t xml:space="preserve"> объект</w:t>
      </w:r>
      <w:r w:rsidR="007F2093">
        <w:t>а</w:t>
      </w:r>
      <w:r w:rsidR="007F2093" w:rsidRPr="00442118">
        <w:t xml:space="preserve"> капитального строительства</w:t>
      </w:r>
    </w:p>
    <w:p w:rsidR="009061B2" w:rsidRPr="00442118" w:rsidRDefault="009061B2" w:rsidP="009061B2">
      <w:pPr>
        <w:ind w:firstLine="709"/>
        <w:jc w:val="center"/>
      </w:pP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w:t>
      </w:r>
      <w:r w:rsidRPr="00A40AD0">
        <w:lastRenderedPageBreak/>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 xml:space="preserve">Муниципальная услуга </w:t>
      </w:r>
      <w:r w:rsidR="00125F3C">
        <w:rPr>
          <w:rFonts w:ascii="Times New Roman" w:hAnsi="Times New Roman" w:cs="Times New Roman"/>
          <w:sz w:val="24"/>
          <w:szCs w:val="24"/>
        </w:rPr>
        <w:t xml:space="preserve">предоставляется </w:t>
      </w:r>
      <w:r w:rsidRPr="00B5497D">
        <w:rPr>
          <w:rFonts w:ascii="Times New Roman" w:hAnsi="Times New Roman" w:cs="Times New Roman"/>
          <w:sz w:val="24"/>
          <w:szCs w:val="24"/>
        </w:rPr>
        <w:t>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442118" w:rsidRDefault="009061B2" w:rsidP="009061B2">
      <w:pPr>
        <w:ind w:firstLine="709"/>
        <w:jc w:val="both"/>
        <w:rPr>
          <w:lang w:eastAsia="ar-SA"/>
        </w:rPr>
      </w:pP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9061B2" w:rsidP="009061B2">
      <w:pPr>
        <w:ind w:firstLine="709"/>
        <w:jc w:val="both"/>
      </w:pP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lastRenderedPageBreak/>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 xml:space="preserve">Муниципальная услуга </w:t>
      </w:r>
      <w:r w:rsidR="00125F3C">
        <w:rPr>
          <w:rFonts w:ascii="Times New Roman" w:hAnsi="Times New Roman" w:cs="Times New Roman"/>
          <w:sz w:val="24"/>
          <w:szCs w:val="24"/>
        </w:rPr>
        <w:t xml:space="preserve">предоставляется </w:t>
      </w:r>
      <w:r w:rsidRPr="00B5497D">
        <w:rPr>
          <w:rFonts w:ascii="Times New Roman" w:hAnsi="Times New Roman" w:cs="Times New Roman"/>
          <w:sz w:val="24"/>
          <w:szCs w:val="24"/>
        </w:rPr>
        <w:t xml:space="preserve"> 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w:t>
      </w:r>
      <w:r w:rsidRPr="00442118">
        <w:lastRenderedPageBreak/>
        <w:t>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00290837" w:rsidRPr="00442118">
        <w:t xml:space="preserve">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lastRenderedPageBreak/>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 xml:space="preserve">Муниципальная услуга </w:t>
      </w:r>
      <w:r w:rsidR="00125F3C">
        <w:rPr>
          <w:rFonts w:ascii="Times New Roman" w:hAnsi="Times New Roman" w:cs="Times New Roman"/>
          <w:sz w:val="24"/>
          <w:szCs w:val="24"/>
        </w:rPr>
        <w:t>предоставляется</w:t>
      </w:r>
      <w:r w:rsidRPr="00B5497D">
        <w:rPr>
          <w:rFonts w:ascii="Times New Roman" w:hAnsi="Times New Roman" w:cs="Times New Roman"/>
          <w:sz w:val="24"/>
          <w:szCs w:val="24"/>
        </w:rPr>
        <w:t xml:space="preserve"> 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w:t>
      </w:r>
      <w:r w:rsidRPr="0048793D">
        <w:rPr>
          <w:rFonts w:ascii="Times New Roman" w:hAnsi="Times New Roman" w:cs="Times New Roman"/>
          <w:sz w:val="24"/>
          <w:szCs w:val="24"/>
        </w:rPr>
        <w:lastRenderedPageBreak/>
        <w:t>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 случае выявления по результатам проверок нарушений осуществляется привлечение </w:t>
      </w:r>
      <w:r w:rsidR="002C17C2" w:rsidRPr="0048793D">
        <w:rPr>
          <w:rFonts w:ascii="Times New Roman" w:hAnsi="Times New Roman" w:cs="Times New Roman"/>
          <w:sz w:val="24"/>
          <w:szCs w:val="24"/>
        </w:rPr>
        <w:lastRenderedPageBreak/>
        <w:t>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002C17C2" w:rsidRPr="0048793D">
        <w:lastRenderedPageBreak/>
        <w:t xml:space="preserve">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6"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2C17C2" w:rsidRPr="0048793D" w:rsidRDefault="00DD39BD" w:rsidP="0048793D">
      <w:pPr>
        <w:autoSpaceDE w:val="0"/>
        <w:autoSpaceDN w:val="0"/>
        <w:adjustRightInd w:val="0"/>
        <w:ind w:firstLine="567"/>
        <w:jc w:val="both"/>
        <w:rPr>
          <w:color w:val="22272F"/>
        </w:rPr>
      </w:pPr>
      <w:hyperlink r:id="rId7"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2C17C2" w:rsidRPr="0048793D">
        <w:rPr>
          <w:color w:val="22272F"/>
        </w:rPr>
        <w:t>».</w:t>
      </w:r>
    </w:p>
    <w:p w:rsidR="002C17C2" w:rsidRPr="0048793D" w:rsidRDefault="002C17C2" w:rsidP="0048793D">
      <w:pPr>
        <w:autoSpaceDE w:val="0"/>
        <w:autoSpaceDN w:val="0"/>
        <w:adjustRightInd w:val="0"/>
        <w:ind w:firstLine="567"/>
        <w:jc w:val="both"/>
      </w:pPr>
    </w:p>
    <w:p w:rsidR="002D08B8" w:rsidRDefault="002D08B8" w:rsidP="00DC0782">
      <w:pPr>
        <w:ind w:left="6521"/>
      </w:pPr>
    </w:p>
    <w:p w:rsidR="00DC0782" w:rsidRDefault="00DC0782" w:rsidP="00DC0782">
      <w:pPr>
        <w:ind w:left="6521"/>
      </w:pPr>
      <w:r w:rsidRPr="006C018E">
        <w:t xml:space="preserve">Приложение </w:t>
      </w:r>
      <w:r w:rsidR="004D29F5">
        <w:t>1</w:t>
      </w:r>
    </w:p>
    <w:p w:rsidR="00DC0782" w:rsidRDefault="00DC0782" w:rsidP="00DC0782">
      <w:pPr>
        <w:ind w:left="6521"/>
        <w:rPr>
          <w:bCs/>
        </w:rPr>
      </w:pPr>
      <w:r w:rsidRPr="006C018E">
        <w:t xml:space="preserve">к Административномурегламенту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firstRow="1" w:lastRow="0" w:firstColumn="1" w:lastColumn="0" w:noHBand="0" w:noVBand="1"/>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w:t>
            </w:r>
            <w:r w:rsidRPr="006C018E">
              <w:rPr>
                <w:rFonts w:ascii="Times New Roman" w:hAnsi="Times New Roman" w:cs="Times New Roman"/>
                <w:sz w:val="24"/>
                <w:szCs w:val="24"/>
              </w:rPr>
              <w:lastRenderedPageBreak/>
              <w:t>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firstRow="1" w:lastRow="0" w:firstColumn="1" w:lastColumn="0" w:noHBand="0" w:noVBand="1"/>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расходов,связанных</w:t>
      </w:r>
      <w:r w:rsidR="00BA7443" w:rsidRPr="0045358B">
        <w:t xml:space="preserve"> с проведением процедуры публичных слушаний(</w:t>
      </w:r>
      <w:r w:rsidRPr="0045358B">
        <w:t>аренда помещения для проведения публичных слушаний</w:t>
      </w:r>
      <w:r w:rsidR="00BA7443" w:rsidRPr="0045358B">
        <w:t>, оплата публикаций</w:t>
      </w:r>
      <w:r w:rsidRPr="0045358B">
        <w:t>информационного сообщения о проведении</w:t>
      </w:r>
      <w:r w:rsidR="00BA7443" w:rsidRPr="0045358B">
        <w:t xml:space="preserve"> публичных слушаний и заключения о</w:t>
      </w:r>
      <w:r w:rsidRPr="0045358B">
        <w:t>результатах публичных</w:t>
      </w:r>
      <w:r w:rsidR="00BA7443" w:rsidRPr="0045358B">
        <w:t xml:space="preserve"> слушаний, изготовление информационных материалов дляпроведения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firstRow="1" w:lastRow="0" w:firstColumn="1" w:lastColumn="0" w:noHBand="0" w:noVBand="1"/>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F24F6C">
        <w:rPr>
          <w:rFonts w:ascii="Times New Roman" w:hAnsi="Times New Roman" w:cs="Times New Roman"/>
          <w:sz w:val="20"/>
        </w:rPr>
        <w:t xml:space="preserve">(фамилия и инициалы)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lastRenderedPageBreak/>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B7073A">
        <w:t>3.В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e-</w:t>
      </w:r>
      <w:proofErr w:type="spellStart"/>
      <w:r w:rsidRPr="002379D4">
        <w:rPr>
          <w:rFonts w:ascii="Courier New" w:hAnsi="Courier New" w:cs="Courier New"/>
          <w:sz w:val="20"/>
          <w:szCs w:val="20"/>
        </w:rPr>
        <w:t>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lastRenderedPageBreak/>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firstRow="1" w:lastRow="0" w:firstColumn="1" w:lastColumn="0" w:noHBand="0" w:noVBand="1"/>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t>(для юридического лица)</w:t>
      </w:r>
      <w:r w:rsidRPr="002379D4">
        <w:tab/>
      </w:r>
      <w:r w:rsidRPr="002379D4">
        <w:rPr>
          <w:sz w:val="28"/>
          <w:szCs w:val="28"/>
        </w:rPr>
        <w:tab/>
      </w:r>
      <w:r w:rsidRPr="002379D4">
        <w:rPr>
          <w:sz w:val="28"/>
          <w:szCs w:val="28"/>
        </w:rPr>
        <w:tab/>
      </w:r>
      <w:r w:rsidRPr="002379D4">
        <w:rPr>
          <w:sz w:val="28"/>
          <w:szCs w:val="28"/>
        </w:rPr>
        <w:tab/>
      </w:r>
      <w:r w:rsidRPr="002379D4">
        <w:rPr>
          <w:sz w:val="28"/>
          <w:szCs w:val="28"/>
        </w:rPr>
        <w:tab/>
      </w:r>
      <w:r w:rsidRPr="00A27C23">
        <w:t>«____» ___________ 20___ г.</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C73131">
        <w:rPr>
          <w:rStyle w:val="a6"/>
          <w:color w:val="000000"/>
        </w:rPr>
        <w:t>Приложение № 2</w:t>
      </w:r>
      <w:r w:rsidRPr="00C73131">
        <w:rPr>
          <w:rStyle w:val="a6"/>
          <w:color w:val="000000"/>
        </w:rPr>
        <w:br/>
        <w:t xml:space="preserve">к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firstRow="0" w:lastRow="0" w:firstColumn="0" w:lastColumn="0" w:noHBand="0" w:noVBand="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A27C23" w:rsidRDefault="00F72B34" w:rsidP="00BA7443">
      <w:pPr>
        <w:autoSpaceDE w:val="0"/>
        <w:autoSpaceDN w:val="0"/>
        <w:adjustRightInd w:val="0"/>
        <w:contextualSpacing/>
        <w:jc w:val="both"/>
        <w:rPr>
          <w:sz w:val="20"/>
          <w:szCs w:val="20"/>
        </w:rPr>
      </w:pPr>
    </w:p>
    <w:sectPr w:rsidR="00F72B34" w:rsidRPr="00A27C23" w:rsidSect="00DC0782">
      <w:pgSz w:w="12240" w:h="15840" w:code="1"/>
      <w:pgMar w:top="667" w:right="567" w:bottom="1134" w:left="1134" w:header="284" w:footer="567" w:gutter="0"/>
      <w:pgNumType w:start="29"/>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CA"/>
    <w:rsid w:val="00002C77"/>
    <w:rsid w:val="00006E83"/>
    <w:rsid w:val="00061CD2"/>
    <w:rsid w:val="00066178"/>
    <w:rsid w:val="00081BD9"/>
    <w:rsid w:val="00091FCA"/>
    <w:rsid w:val="000E4A0E"/>
    <w:rsid w:val="000E6554"/>
    <w:rsid w:val="000F6EAE"/>
    <w:rsid w:val="00105614"/>
    <w:rsid w:val="0010573F"/>
    <w:rsid w:val="00125F3C"/>
    <w:rsid w:val="00164DBD"/>
    <w:rsid w:val="001B270D"/>
    <w:rsid w:val="001B638C"/>
    <w:rsid w:val="001E0FB8"/>
    <w:rsid w:val="001F1DA7"/>
    <w:rsid w:val="002038B7"/>
    <w:rsid w:val="00290837"/>
    <w:rsid w:val="002A6225"/>
    <w:rsid w:val="002C17C2"/>
    <w:rsid w:val="002C40D6"/>
    <w:rsid w:val="002D08B8"/>
    <w:rsid w:val="00312596"/>
    <w:rsid w:val="00312AE0"/>
    <w:rsid w:val="00327D51"/>
    <w:rsid w:val="00333B2C"/>
    <w:rsid w:val="00352709"/>
    <w:rsid w:val="00353B3C"/>
    <w:rsid w:val="0037594A"/>
    <w:rsid w:val="003838CA"/>
    <w:rsid w:val="00397AF9"/>
    <w:rsid w:val="003B0FC3"/>
    <w:rsid w:val="003E2B0B"/>
    <w:rsid w:val="0044782F"/>
    <w:rsid w:val="004605AF"/>
    <w:rsid w:val="00485C04"/>
    <w:rsid w:val="0048793D"/>
    <w:rsid w:val="00491EFB"/>
    <w:rsid w:val="00496C12"/>
    <w:rsid w:val="00497749"/>
    <w:rsid w:val="004A4893"/>
    <w:rsid w:val="004A514F"/>
    <w:rsid w:val="004B36FA"/>
    <w:rsid w:val="004D2176"/>
    <w:rsid w:val="004D29F5"/>
    <w:rsid w:val="004E2D3B"/>
    <w:rsid w:val="004F304A"/>
    <w:rsid w:val="00524901"/>
    <w:rsid w:val="00524FE1"/>
    <w:rsid w:val="0053129D"/>
    <w:rsid w:val="00541952"/>
    <w:rsid w:val="00547045"/>
    <w:rsid w:val="00552D33"/>
    <w:rsid w:val="0055327B"/>
    <w:rsid w:val="00553F6E"/>
    <w:rsid w:val="00557032"/>
    <w:rsid w:val="005612E2"/>
    <w:rsid w:val="005A336C"/>
    <w:rsid w:val="005E1FE7"/>
    <w:rsid w:val="005F0A17"/>
    <w:rsid w:val="005F1728"/>
    <w:rsid w:val="005F4B4E"/>
    <w:rsid w:val="00614D1B"/>
    <w:rsid w:val="00617E5A"/>
    <w:rsid w:val="00625532"/>
    <w:rsid w:val="0067291B"/>
    <w:rsid w:val="00683B5F"/>
    <w:rsid w:val="006B023C"/>
    <w:rsid w:val="006C46D7"/>
    <w:rsid w:val="00756479"/>
    <w:rsid w:val="00786BF8"/>
    <w:rsid w:val="007A5492"/>
    <w:rsid w:val="007C013F"/>
    <w:rsid w:val="007C21F0"/>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080B"/>
    <w:rsid w:val="009A5A25"/>
    <w:rsid w:val="009A72FF"/>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E787F"/>
    <w:rsid w:val="00BF0ECC"/>
    <w:rsid w:val="00BF51AA"/>
    <w:rsid w:val="00C175DD"/>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C2629"/>
    <w:rsid w:val="00DD39BD"/>
    <w:rsid w:val="00DD4116"/>
    <w:rsid w:val="00DD4F39"/>
    <w:rsid w:val="00E14005"/>
    <w:rsid w:val="00E174FB"/>
    <w:rsid w:val="00E305D9"/>
    <w:rsid w:val="00E36351"/>
    <w:rsid w:val="00E82A17"/>
    <w:rsid w:val="00E8751A"/>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D0DE8-4BC4-4EAD-A76C-B9ACA549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Body Text"/>
    <w:basedOn w:val="a"/>
    <w:link w:val="aa"/>
    <w:uiPriority w:val="99"/>
    <w:semiHidden/>
    <w:unhideWhenUsed/>
    <w:rsid w:val="00524FE1"/>
    <w:pPr>
      <w:spacing w:after="120"/>
    </w:pPr>
  </w:style>
  <w:style w:type="character" w:customStyle="1" w:styleId="aa">
    <w:name w:val="Основной текст Знак"/>
    <w:basedOn w:val="a0"/>
    <w:link w:val="a9"/>
    <w:uiPriority w:val="99"/>
    <w:semiHidden/>
    <w:rsid w:val="00524FE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24FE1"/>
    <w:rPr>
      <w:rFonts w:ascii="Calibri" w:eastAsia="Times New Roman" w:hAnsi="Calibri" w:cs="Calibri"/>
      <w:szCs w:val="20"/>
      <w:lang w:eastAsia="ru-RU"/>
    </w:rPr>
  </w:style>
  <w:style w:type="paragraph" w:styleId="ab">
    <w:name w:val="Balloon Text"/>
    <w:basedOn w:val="a"/>
    <w:link w:val="ac"/>
    <w:uiPriority w:val="99"/>
    <w:semiHidden/>
    <w:unhideWhenUsed/>
    <w:rsid w:val="00524FE1"/>
    <w:rPr>
      <w:rFonts w:ascii="Tahoma" w:hAnsi="Tahoma" w:cs="Tahoma"/>
      <w:sz w:val="16"/>
      <w:szCs w:val="16"/>
    </w:rPr>
  </w:style>
  <w:style w:type="character" w:customStyle="1" w:styleId="ac">
    <w:name w:val="Текст выноски Знак"/>
    <w:basedOn w:val="a0"/>
    <w:link w:val="ab"/>
    <w:uiPriority w:val="99"/>
    <w:semiHidden/>
    <w:rsid w:val="00524F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11536</Words>
  <Characters>65760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Пользователь Windows</cp:lastModifiedBy>
  <cp:revision>3</cp:revision>
  <dcterms:created xsi:type="dcterms:W3CDTF">2024-08-27T10:26:00Z</dcterms:created>
  <dcterms:modified xsi:type="dcterms:W3CDTF">2024-08-27T10:27:00Z</dcterms:modified>
</cp:coreProperties>
</file>